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leftFromText="180" w:rightFromText="180" w:vertAnchor="page" w:horzAnchor="margin" w:tblpY="943"/>
        <w:tblW w:w="14312" w:type="dxa"/>
        <w:tblLook w:val="04A0" w:firstRow="1" w:lastRow="0" w:firstColumn="1" w:lastColumn="0" w:noHBand="0" w:noVBand="1"/>
      </w:tblPr>
      <w:tblGrid>
        <w:gridCol w:w="2263"/>
        <w:gridCol w:w="142"/>
        <w:gridCol w:w="2835"/>
        <w:gridCol w:w="2977"/>
        <w:gridCol w:w="3118"/>
        <w:gridCol w:w="2977"/>
      </w:tblGrid>
      <w:tr w:rsidR="00ED6C6F" w:rsidRPr="004467CA" w14:paraId="44A10C1F" w14:textId="77777777" w:rsidTr="00D44E22">
        <w:tc>
          <w:tcPr>
            <w:tcW w:w="14312" w:type="dxa"/>
            <w:gridSpan w:val="6"/>
            <w:shd w:val="clear" w:color="auto" w:fill="8EAADB" w:themeFill="accent1" w:themeFillTint="99"/>
          </w:tcPr>
          <w:p w14:paraId="48F04558" w14:textId="6A652DE1" w:rsidR="00ED6C6F" w:rsidRPr="00E21D3D" w:rsidRDefault="0032797B" w:rsidP="00ED6C6F">
            <w:pPr>
              <w:spacing w:before="120" w:after="120" w:line="247" w:lineRule="auto"/>
              <w:ind w:left="0" w:right="516" w:firstLine="0"/>
              <w:jc w:val="center"/>
              <w:rPr>
                <w:b/>
                <w:bCs/>
                <w:sz w:val="24"/>
                <w:szCs w:val="24"/>
                <w:lang w:val="en-GB"/>
              </w:rPr>
            </w:pPr>
            <w:r>
              <w:rPr>
                <w:b/>
                <w:bCs/>
                <w:color w:val="FFFFFF" w:themeColor="background1"/>
                <w:sz w:val="24"/>
                <w:szCs w:val="24"/>
                <w:lang w:val="en-GB"/>
              </w:rPr>
              <w:t>SELF ASSESSMENT TOOL – QUALITY ASSURANCE FOR BLENDED AND FULLY ONLINE PROGRAMMES</w:t>
            </w:r>
          </w:p>
        </w:tc>
      </w:tr>
      <w:tr w:rsidR="00174FCE" w:rsidRPr="004467CA" w14:paraId="46A559D5" w14:textId="77777777" w:rsidTr="00D44E22">
        <w:tc>
          <w:tcPr>
            <w:tcW w:w="2263" w:type="dxa"/>
            <w:shd w:val="clear" w:color="auto" w:fill="BDD6EE" w:themeFill="accent5" w:themeFillTint="66"/>
          </w:tcPr>
          <w:p w14:paraId="0B03C5F1" w14:textId="77777777" w:rsidR="00174FCE" w:rsidRPr="00E21D3D" w:rsidRDefault="00174FCE" w:rsidP="009867D9">
            <w:pPr>
              <w:spacing w:before="120" w:after="120" w:line="247" w:lineRule="auto"/>
              <w:ind w:left="0" w:right="516" w:firstLine="0"/>
              <w:rPr>
                <w:b/>
                <w:bCs/>
                <w:lang w:val="en-GB"/>
              </w:rPr>
            </w:pPr>
            <w:r>
              <w:rPr>
                <w:b/>
                <w:bCs/>
                <w:lang w:val="en-GB"/>
              </w:rPr>
              <w:t>Provider:</w:t>
            </w:r>
          </w:p>
        </w:tc>
        <w:tc>
          <w:tcPr>
            <w:tcW w:w="12049" w:type="dxa"/>
            <w:gridSpan w:val="5"/>
            <w:shd w:val="clear" w:color="auto" w:fill="auto"/>
          </w:tcPr>
          <w:p w14:paraId="715AE237" w14:textId="13FC503D" w:rsidR="00174FCE" w:rsidRPr="00E21D3D" w:rsidRDefault="00174FCE" w:rsidP="00ED6C6F">
            <w:pPr>
              <w:spacing w:before="120" w:after="120" w:line="247" w:lineRule="auto"/>
              <w:ind w:left="0" w:right="516" w:firstLine="0"/>
              <w:jc w:val="center"/>
              <w:rPr>
                <w:b/>
                <w:bCs/>
                <w:lang w:val="en-GB"/>
              </w:rPr>
            </w:pPr>
          </w:p>
        </w:tc>
      </w:tr>
      <w:tr w:rsidR="00CD114A" w:rsidRPr="004467CA" w14:paraId="522E9A93" w14:textId="77777777" w:rsidTr="00E1311F">
        <w:tc>
          <w:tcPr>
            <w:tcW w:w="14312" w:type="dxa"/>
            <w:gridSpan w:val="6"/>
            <w:shd w:val="clear" w:color="auto" w:fill="FBE4D5" w:themeFill="accent2" w:themeFillTint="33"/>
          </w:tcPr>
          <w:p w14:paraId="58DDDB30" w14:textId="0B07947B" w:rsidR="00CD114A" w:rsidRDefault="00CD114A" w:rsidP="00ED6C6F">
            <w:pPr>
              <w:spacing w:before="120" w:after="120" w:line="247" w:lineRule="auto"/>
              <w:ind w:left="0" w:right="516" w:firstLine="0"/>
              <w:jc w:val="center"/>
              <w:rPr>
                <w:b/>
                <w:bCs/>
                <w:lang w:val="en-GB"/>
              </w:rPr>
            </w:pPr>
            <w:r>
              <w:rPr>
                <w:b/>
                <w:bCs/>
                <w:lang w:val="en-GB"/>
              </w:rPr>
              <w:t>Current Scope of Provision</w:t>
            </w:r>
            <w:r w:rsidR="001270BC">
              <w:rPr>
                <w:b/>
                <w:bCs/>
                <w:lang w:val="en-GB"/>
              </w:rPr>
              <w:t xml:space="preserve"> </w:t>
            </w:r>
            <w:r w:rsidR="001270BC" w:rsidRPr="00BD3FAB">
              <w:rPr>
                <w:sz w:val="20"/>
                <w:szCs w:val="20"/>
                <w:lang w:val="en-GB"/>
              </w:rPr>
              <w:t xml:space="preserve">(enter </w:t>
            </w:r>
            <w:r w:rsidR="001270BC" w:rsidRPr="00BD3FAB">
              <w:rPr>
                <w:b/>
                <w:bCs/>
                <w:color w:val="FF0000"/>
                <w:sz w:val="24"/>
                <w:szCs w:val="24"/>
                <w:lang w:val="en-GB"/>
              </w:rPr>
              <w:sym w:font="Wingdings" w:char="F0FC"/>
            </w:r>
            <w:r w:rsidR="001270BC" w:rsidRPr="00BD3FAB">
              <w:rPr>
                <w:sz w:val="20"/>
                <w:szCs w:val="20"/>
                <w:lang w:val="en-GB"/>
              </w:rPr>
              <w:t>)</w:t>
            </w:r>
          </w:p>
        </w:tc>
      </w:tr>
      <w:tr w:rsidR="009D13CF" w:rsidRPr="004467CA" w14:paraId="3EB758B8" w14:textId="77777777" w:rsidTr="009D13CF">
        <w:tc>
          <w:tcPr>
            <w:tcW w:w="2405" w:type="dxa"/>
            <w:gridSpan w:val="2"/>
            <w:shd w:val="clear" w:color="auto" w:fill="BDD6EE" w:themeFill="accent5" w:themeFillTint="66"/>
          </w:tcPr>
          <w:p w14:paraId="2F6A63F9" w14:textId="72B621E0" w:rsidR="009D13CF" w:rsidRPr="00E21D3D" w:rsidRDefault="009D13CF" w:rsidP="009D13CF">
            <w:pPr>
              <w:spacing w:before="120" w:after="120" w:line="247" w:lineRule="auto"/>
              <w:ind w:left="0" w:right="516" w:firstLine="0"/>
              <w:jc w:val="center"/>
              <w:rPr>
                <w:b/>
                <w:bCs/>
                <w:lang w:val="en-GB"/>
              </w:rPr>
            </w:pPr>
            <w:r>
              <w:rPr>
                <w:b/>
                <w:bCs/>
                <w:lang w:val="en-GB"/>
              </w:rPr>
              <w:t>On Site Only</w:t>
            </w:r>
          </w:p>
        </w:tc>
        <w:tc>
          <w:tcPr>
            <w:tcW w:w="2835" w:type="dxa"/>
            <w:shd w:val="clear" w:color="auto" w:fill="BDD6EE" w:themeFill="accent5" w:themeFillTint="66"/>
          </w:tcPr>
          <w:p w14:paraId="1F8A1203" w14:textId="57C1AAAD" w:rsidR="009D13CF" w:rsidRDefault="009D13CF" w:rsidP="009D13CF">
            <w:pPr>
              <w:spacing w:before="120" w:after="120" w:line="247" w:lineRule="auto"/>
              <w:ind w:left="0" w:right="516" w:firstLine="0"/>
              <w:jc w:val="center"/>
              <w:rPr>
                <w:b/>
                <w:bCs/>
                <w:lang w:val="en-GB"/>
              </w:rPr>
            </w:pPr>
            <w:r>
              <w:rPr>
                <w:b/>
                <w:bCs/>
                <w:lang w:val="en-GB"/>
              </w:rPr>
              <w:t>Blended – Synchronous Only</w:t>
            </w:r>
          </w:p>
        </w:tc>
        <w:tc>
          <w:tcPr>
            <w:tcW w:w="2977" w:type="dxa"/>
            <w:shd w:val="clear" w:color="auto" w:fill="BDD6EE" w:themeFill="accent5" w:themeFillTint="66"/>
          </w:tcPr>
          <w:p w14:paraId="5207E15A" w14:textId="035ED4B9" w:rsidR="009D13CF" w:rsidRPr="00E21D3D" w:rsidRDefault="009D13CF" w:rsidP="009D13CF">
            <w:pPr>
              <w:spacing w:before="120" w:after="120" w:line="247" w:lineRule="auto"/>
              <w:ind w:left="0" w:right="516" w:firstLine="0"/>
              <w:jc w:val="center"/>
              <w:rPr>
                <w:b/>
                <w:bCs/>
                <w:lang w:val="en-GB"/>
              </w:rPr>
            </w:pPr>
            <w:r>
              <w:rPr>
                <w:b/>
                <w:bCs/>
                <w:lang w:val="en-GB"/>
              </w:rPr>
              <w:t xml:space="preserve">Blended – Synchronous </w:t>
            </w:r>
            <w:r>
              <w:rPr>
                <w:b/>
                <w:bCs/>
                <w:lang w:val="en-GB"/>
              </w:rPr>
              <w:t>and Asynchronous</w:t>
            </w:r>
          </w:p>
        </w:tc>
        <w:tc>
          <w:tcPr>
            <w:tcW w:w="6095" w:type="dxa"/>
            <w:gridSpan w:val="2"/>
            <w:shd w:val="clear" w:color="auto" w:fill="BDD6EE" w:themeFill="accent5" w:themeFillTint="66"/>
          </w:tcPr>
          <w:p w14:paraId="07756BDB" w14:textId="711400C3" w:rsidR="009D13CF" w:rsidRPr="00E21D3D" w:rsidRDefault="009D13CF" w:rsidP="009D13CF">
            <w:pPr>
              <w:spacing w:before="120" w:after="120" w:line="247" w:lineRule="auto"/>
              <w:ind w:left="0" w:right="516" w:firstLine="0"/>
              <w:jc w:val="center"/>
              <w:rPr>
                <w:b/>
                <w:bCs/>
                <w:lang w:val="en-GB"/>
              </w:rPr>
            </w:pPr>
            <w:r>
              <w:rPr>
                <w:b/>
                <w:bCs/>
                <w:lang w:val="en-GB"/>
              </w:rPr>
              <w:t>Online (Validation Pilot participated)</w:t>
            </w:r>
            <w:r>
              <w:rPr>
                <w:rStyle w:val="FootnoteReference"/>
                <w:b/>
                <w:bCs/>
                <w:lang w:val="en-GB"/>
              </w:rPr>
              <w:footnoteReference w:id="1"/>
            </w:r>
          </w:p>
        </w:tc>
      </w:tr>
      <w:tr w:rsidR="009D13CF" w:rsidRPr="004467CA" w14:paraId="444E2BDA" w14:textId="77777777" w:rsidTr="009D13CF">
        <w:tc>
          <w:tcPr>
            <w:tcW w:w="2405" w:type="dxa"/>
            <w:gridSpan w:val="2"/>
            <w:shd w:val="clear" w:color="auto" w:fill="FFFFFF" w:themeFill="background1"/>
          </w:tcPr>
          <w:p w14:paraId="40D38922" w14:textId="77777777" w:rsidR="009D13CF" w:rsidRDefault="009D13CF" w:rsidP="009D13CF">
            <w:pPr>
              <w:spacing w:before="120" w:after="120" w:line="247" w:lineRule="auto"/>
              <w:ind w:left="0" w:right="516" w:firstLine="0"/>
              <w:rPr>
                <w:b/>
                <w:bCs/>
                <w:lang w:val="en-GB"/>
              </w:rPr>
            </w:pPr>
          </w:p>
        </w:tc>
        <w:tc>
          <w:tcPr>
            <w:tcW w:w="2835" w:type="dxa"/>
            <w:shd w:val="clear" w:color="auto" w:fill="auto"/>
          </w:tcPr>
          <w:p w14:paraId="0E40C49B" w14:textId="77777777" w:rsidR="009D13CF" w:rsidRDefault="009D13CF" w:rsidP="009D13CF">
            <w:pPr>
              <w:spacing w:before="120" w:after="120" w:line="247" w:lineRule="auto"/>
              <w:ind w:left="0" w:right="516" w:firstLine="0"/>
              <w:jc w:val="center"/>
              <w:rPr>
                <w:b/>
                <w:bCs/>
                <w:lang w:val="en-GB"/>
              </w:rPr>
            </w:pPr>
          </w:p>
        </w:tc>
        <w:tc>
          <w:tcPr>
            <w:tcW w:w="2977" w:type="dxa"/>
            <w:shd w:val="clear" w:color="auto" w:fill="auto"/>
          </w:tcPr>
          <w:p w14:paraId="523ED7EB" w14:textId="77777777" w:rsidR="009D13CF" w:rsidRPr="00E21D3D" w:rsidRDefault="009D13CF" w:rsidP="009D13CF">
            <w:pPr>
              <w:spacing w:before="120" w:after="120" w:line="247" w:lineRule="auto"/>
              <w:ind w:left="0" w:right="516" w:firstLine="0"/>
              <w:jc w:val="center"/>
              <w:rPr>
                <w:b/>
                <w:bCs/>
                <w:lang w:val="en-GB"/>
              </w:rPr>
            </w:pPr>
          </w:p>
        </w:tc>
        <w:tc>
          <w:tcPr>
            <w:tcW w:w="6095" w:type="dxa"/>
            <w:gridSpan w:val="2"/>
            <w:shd w:val="clear" w:color="auto" w:fill="auto"/>
          </w:tcPr>
          <w:p w14:paraId="0BAE99C7" w14:textId="03258A7F" w:rsidR="009D13CF" w:rsidRPr="00E21D3D" w:rsidRDefault="009D13CF" w:rsidP="009D13CF">
            <w:pPr>
              <w:spacing w:before="120" w:after="120" w:line="247" w:lineRule="auto"/>
              <w:ind w:left="0" w:right="516" w:firstLine="0"/>
              <w:jc w:val="center"/>
              <w:rPr>
                <w:b/>
                <w:bCs/>
                <w:lang w:val="en-GB"/>
              </w:rPr>
            </w:pPr>
          </w:p>
        </w:tc>
      </w:tr>
      <w:tr w:rsidR="009D13CF" w:rsidRPr="004467CA" w14:paraId="59FEC64D" w14:textId="77777777" w:rsidTr="00E1311F">
        <w:tc>
          <w:tcPr>
            <w:tcW w:w="14312" w:type="dxa"/>
            <w:gridSpan w:val="6"/>
            <w:shd w:val="clear" w:color="auto" w:fill="FBE4D5" w:themeFill="accent2" w:themeFillTint="33"/>
          </w:tcPr>
          <w:p w14:paraId="40FA3638" w14:textId="235C0775" w:rsidR="009D13CF" w:rsidRDefault="009D13CF" w:rsidP="009D13CF">
            <w:pPr>
              <w:spacing w:before="120" w:after="120" w:line="247" w:lineRule="auto"/>
              <w:ind w:left="0" w:right="516" w:firstLine="0"/>
              <w:jc w:val="center"/>
              <w:rPr>
                <w:b/>
                <w:bCs/>
                <w:lang w:val="en-GB"/>
              </w:rPr>
            </w:pPr>
            <w:r>
              <w:rPr>
                <w:b/>
                <w:bCs/>
                <w:lang w:val="en-GB"/>
              </w:rPr>
              <w:t xml:space="preserve">Desired Scope of Provision </w:t>
            </w:r>
            <w:r w:rsidRPr="00E176D1">
              <w:rPr>
                <w:b/>
                <w:bCs/>
                <w:sz w:val="18"/>
                <w:szCs w:val="18"/>
                <w:lang w:val="en-GB"/>
              </w:rPr>
              <w:t xml:space="preserve">(ref. </w:t>
            </w:r>
            <w:r>
              <w:rPr>
                <w:b/>
                <w:bCs/>
                <w:sz w:val="18"/>
                <w:szCs w:val="18"/>
                <w:lang w:val="en-GB"/>
              </w:rPr>
              <w:t>Process Guide</w:t>
            </w:r>
            <w:r w:rsidRPr="00E176D1">
              <w:rPr>
                <w:b/>
                <w:bCs/>
                <w:sz w:val="18"/>
                <w:szCs w:val="18"/>
                <w:lang w:val="en-GB"/>
              </w:rPr>
              <w:t>)</w:t>
            </w:r>
          </w:p>
        </w:tc>
      </w:tr>
      <w:tr w:rsidR="009D13CF" w:rsidRPr="004467CA" w14:paraId="55A18226" w14:textId="77777777" w:rsidTr="009D13CF">
        <w:tc>
          <w:tcPr>
            <w:tcW w:w="2405" w:type="dxa"/>
            <w:gridSpan w:val="2"/>
            <w:shd w:val="clear" w:color="auto" w:fill="BDD6EE" w:themeFill="accent5" w:themeFillTint="66"/>
          </w:tcPr>
          <w:p w14:paraId="38A958A1" w14:textId="5F98BA23" w:rsidR="009D13CF" w:rsidRDefault="009D13CF" w:rsidP="009D13CF">
            <w:pPr>
              <w:spacing w:before="120" w:after="120" w:line="247" w:lineRule="auto"/>
              <w:ind w:left="0" w:right="516" w:firstLine="0"/>
              <w:jc w:val="center"/>
              <w:rPr>
                <w:b/>
                <w:bCs/>
                <w:lang w:val="en-GB"/>
              </w:rPr>
            </w:pPr>
            <w:r>
              <w:rPr>
                <w:b/>
                <w:bCs/>
                <w:lang w:val="en-GB"/>
              </w:rPr>
              <w:t>(1) Blended – Synchronous Only</w:t>
            </w:r>
          </w:p>
          <w:p w14:paraId="5539391E" w14:textId="503E8F2D" w:rsidR="009D13CF" w:rsidRPr="00343157" w:rsidRDefault="009D13CF" w:rsidP="009D13CF">
            <w:pPr>
              <w:spacing w:before="120" w:after="120" w:line="247" w:lineRule="auto"/>
              <w:ind w:left="0" w:right="516" w:firstLine="0"/>
              <w:jc w:val="center"/>
              <w:rPr>
                <w:sz w:val="20"/>
                <w:szCs w:val="20"/>
                <w:lang w:val="en-GB"/>
              </w:rPr>
            </w:pPr>
            <w:r w:rsidRPr="00343157">
              <w:rPr>
                <w:sz w:val="20"/>
                <w:szCs w:val="20"/>
                <w:lang w:val="en-GB"/>
              </w:rPr>
              <w:t>(On</w:t>
            </w:r>
            <w:r>
              <w:rPr>
                <w:sz w:val="20"/>
                <w:szCs w:val="20"/>
                <w:lang w:val="en-GB"/>
              </w:rPr>
              <w:t xml:space="preserve"> </w:t>
            </w:r>
            <w:r w:rsidRPr="00343157">
              <w:rPr>
                <w:sz w:val="20"/>
                <w:szCs w:val="20"/>
                <w:lang w:val="en-GB"/>
              </w:rPr>
              <w:t>Site + Synchronous Classes</w:t>
            </w:r>
            <w:r>
              <w:rPr>
                <w:sz w:val="20"/>
                <w:szCs w:val="20"/>
                <w:lang w:val="en-GB"/>
              </w:rPr>
              <w:t xml:space="preserve"> only.  Resources available online</w:t>
            </w:r>
            <w:r w:rsidRPr="00343157">
              <w:rPr>
                <w:sz w:val="20"/>
                <w:szCs w:val="20"/>
                <w:lang w:val="en-GB"/>
              </w:rPr>
              <w:t>)</w:t>
            </w:r>
          </w:p>
        </w:tc>
        <w:tc>
          <w:tcPr>
            <w:tcW w:w="2835" w:type="dxa"/>
            <w:shd w:val="clear" w:color="auto" w:fill="BDD6EE" w:themeFill="accent5" w:themeFillTint="66"/>
          </w:tcPr>
          <w:p w14:paraId="08D9CC73" w14:textId="3AB6CAC3" w:rsidR="009D13CF" w:rsidRDefault="009D13CF" w:rsidP="009D13CF">
            <w:pPr>
              <w:spacing w:before="120" w:after="120" w:line="247" w:lineRule="auto"/>
              <w:ind w:left="0" w:right="516" w:firstLine="0"/>
              <w:jc w:val="center"/>
              <w:rPr>
                <w:b/>
                <w:bCs/>
                <w:lang w:val="en-GB"/>
              </w:rPr>
            </w:pPr>
            <w:r>
              <w:rPr>
                <w:b/>
                <w:bCs/>
                <w:lang w:val="en-GB"/>
              </w:rPr>
              <w:t xml:space="preserve">(2) Blended – </w:t>
            </w:r>
            <w:r>
              <w:rPr>
                <w:b/>
                <w:bCs/>
                <w:lang w:val="en-GB"/>
              </w:rPr>
              <w:t>Synchronous</w:t>
            </w:r>
            <w:r>
              <w:rPr>
                <w:b/>
                <w:bCs/>
                <w:lang w:val="en-GB"/>
              </w:rPr>
              <w:t xml:space="preserve"> and Asynchronous</w:t>
            </w:r>
          </w:p>
          <w:p w14:paraId="0F5116BB" w14:textId="2927B0CB" w:rsidR="009D13CF" w:rsidRPr="00707877" w:rsidRDefault="009D13CF" w:rsidP="009D13CF">
            <w:pPr>
              <w:spacing w:before="120" w:after="120" w:line="247" w:lineRule="auto"/>
              <w:ind w:left="0" w:right="516" w:firstLine="0"/>
              <w:jc w:val="center"/>
              <w:rPr>
                <w:lang w:val="en-GB"/>
              </w:rPr>
            </w:pPr>
            <w:r w:rsidRPr="00707877">
              <w:rPr>
                <w:sz w:val="20"/>
                <w:szCs w:val="20"/>
                <w:lang w:val="en-GB"/>
              </w:rPr>
              <w:t>(On</w:t>
            </w:r>
            <w:r>
              <w:rPr>
                <w:sz w:val="20"/>
                <w:szCs w:val="20"/>
                <w:lang w:val="en-GB"/>
              </w:rPr>
              <w:t xml:space="preserve"> </w:t>
            </w:r>
            <w:r w:rsidRPr="00707877">
              <w:rPr>
                <w:sz w:val="20"/>
                <w:szCs w:val="20"/>
                <w:lang w:val="en-GB"/>
              </w:rPr>
              <w:t>Site + Synchronous Classes + Asynchronous Content)</w:t>
            </w:r>
          </w:p>
        </w:tc>
        <w:tc>
          <w:tcPr>
            <w:tcW w:w="2977" w:type="dxa"/>
            <w:shd w:val="clear" w:color="auto" w:fill="BDD6EE" w:themeFill="accent5" w:themeFillTint="66"/>
          </w:tcPr>
          <w:p w14:paraId="743F94F0" w14:textId="791007DF" w:rsidR="009D13CF" w:rsidRDefault="009D13CF" w:rsidP="009D13CF">
            <w:pPr>
              <w:spacing w:before="120" w:after="120" w:line="247" w:lineRule="auto"/>
              <w:ind w:left="0" w:right="516" w:firstLine="0"/>
              <w:jc w:val="center"/>
              <w:rPr>
                <w:b/>
                <w:bCs/>
                <w:lang w:val="en-GB"/>
              </w:rPr>
            </w:pPr>
            <w:r>
              <w:rPr>
                <w:b/>
                <w:bCs/>
                <w:lang w:val="en-GB"/>
              </w:rPr>
              <w:t xml:space="preserve">(3) Fully Online </w:t>
            </w:r>
            <w:r>
              <w:rPr>
                <w:b/>
                <w:bCs/>
                <w:lang w:val="en-GB"/>
              </w:rPr>
              <w:t>National</w:t>
            </w:r>
            <w:r>
              <w:rPr>
                <w:b/>
                <w:bCs/>
                <w:lang w:val="en-GB"/>
              </w:rPr>
              <w:t xml:space="preserve"> -Synchronous Only </w:t>
            </w:r>
          </w:p>
          <w:p w14:paraId="6A99EAF5" w14:textId="15CA182D" w:rsidR="009D13CF" w:rsidRPr="00D44E22" w:rsidRDefault="009D13CF" w:rsidP="009D13CF">
            <w:pPr>
              <w:spacing w:after="0" w:line="247" w:lineRule="auto"/>
              <w:ind w:left="0" w:right="177" w:firstLine="0"/>
              <w:jc w:val="center"/>
              <w:rPr>
                <w:sz w:val="20"/>
                <w:szCs w:val="20"/>
                <w:lang w:val="en-GB"/>
              </w:rPr>
            </w:pPr>
            <w:r w:rsidRPr="00D44E22">
              <w:rPr>
                <w:sz w:val="20"/>
                <w:szCs w:val="20"/>
                <w:lang w:val="en-GB"/>
              </w:rPr>
              <w:t>(100% Synchronous classes</w:t>
            </w:r>
            <w:r>
              <w:rPr>
                <w:sz w:val="20"/>
                <w:szCs w:val="20"/>
                <w:lang w:val="en-GB"/>
              </w:rPr>
              <w:t xml:space="preserve"> for l</w:t>
            </w:r>
            <w:r w:rsidRPr="00D44E22">
              <w:rPr>
                <w:sz w:val="20"/>
                <w:szCs w:val="20"/>
                <w:lang w:val="en-GB"/>
              </w:rPr>
              <w:t>earners in Ireland</w:t>
            </w:r>
            <w:r>
              <w:rPr>
                <w:sz w:val="20"/>
                <w:szCs w:val="20"/>
                <w:lang w:val="en-GB"/>
              </w:rPr>
              <w:t xml:space="preserve"> only</w:t>
            </w:r>
            <w:r w:rsidRPr="00D44E22">
              <w:rPr>
                <w:sz w:val="20"/>
                <w:szCs w:val="20"/>
                <w:lang w:val="en-GB"/>
              </w:rPr>
              <w:t>)</w:t>
            </w:r>
          </w:p>
        </w:tc>
        <w:tc>
          <w:tcPr>
            <w:tcW w:w="3118" w:type="dxa"/>
            <w:shd w:val="clear" w:color="auto" w:fill="BDD6EE" w:themeFill="accent5" w:themeFillTint="66"/>
          </w:tcPr>
          <w:p w14:paraId="4979375B" w14:textId="637553E1" w:rsidR="009D13CF" w:rsidRDefault="009D13CF" w:rsidP="009D13CF">
            <w:pPr>
              <w:spacing w:before="120" w:after="120" w:line="247" w:lineRule="auto"/>
              <w:ind w:left="0" w:right="516" w:firstLine="0"/>
              <w:jc w:val="center"/>
              <w:rPr>
                <w:b/>
                <w:bCs/>
                <w:lang w:val="en-GB"/>
              </w:rPr>
            </w:pPr>
            <w:r>
              <w:rPr>
                <w:b/>
                <w:bCs/>
                <w:lang w:val="en-GB"/>
              </w:rPr>
              <w:t xml:space="preserve">(4) Fully Online National  </w:t>
            </w:r>
            <w:r>
              <w:rPr>
                <w:b/>
                <w:bCs/>
                <w:lang w:val="en-GB"/>
              </w:rPr>
              <w:t>Synchronous and Asynchronous</w:t>
            </w:r>
          </w:p>
          <w:p w14:paraId="086E769B" w14:textId="352107D5" w:rsidR="009D13CF" w:rsidRDefault="009D13CF" w:rsidP="009D13CF">
            <w:pPr>
              <w:spacing w:after="0" w:line="247" w:lineRule="auto"/>
              <w:ind w:left="0" w:right="516" w:firstLine="0"/>
              <w:jc w:val="center"/>
              <w:rPr>
                <w:sz w:val="20"/>
                <w:szCs w:val="20"/>
                <w:lang w:val="en-GB"/>
              </w:rPr>
            </w:pPr>
            <w:r w:rsidRPr="00D44E22">
              <w:rPr>
                <w:sz w:val="20"/>
                <w:szCs w:val="20"/>
                <w:lang w:val="en-GB"/>
              </w:rPr>
              <w:t>(</w:t>
            </w:r>
            <w:r>
              <w:t xml:space="preserve"> </w:t>
            </w:r>
            <w:r w:rsidRPr="009D13CF">
              <w:rPr>
                <w:sz w:val="20"/>
                <w:szCs w:val="20"/>
                <w:lang w:val="en-GB"/>
              </w:rPr>
              <w:t>Synchronous Classes + Asynchronous Content</w:t>
            </w:r>
            <w:r w:rsidRPr="009D13CF">
              <w:rPr>
                <w:sz w:val="20"/>
                <w:szCs w:val="20"/>
                <w:lang w:val="en-GB"/>
              </w:rPr>
              <w:t xml:space="preserve"> </w:t>
            </w:r>
            <w:r w:rsidRPr="009D13CF">
              <w:rPr>
                <w:sz w:val="20"/>
                <w:szCs w:val="20"/>
                <w:lang w:val="en-GB"/>
              </w:rPr>
              <w:t>for learners in Ireland only)</w:t>
            </w:r>
          </w:p>
        </w:tc>
        <w:tc>
          <w:tcPr>
            <w:tcW w:w="2977" w:type="dxa"/>
            <w:shd w:val="clear" w:color="auto" w:fill="BDD6EE" w:themeFill="accent5" w:themeFillTint="66"/>
          </w:tcPr>
          <w:p w14:paraId="365478DB" w14:textId="61AD4D5D" w:rsidR="009D13CF" w:rsidRDefault="009D13CF" w:rsidP="009D13CF">
            <w:pPr>
              <w:spacing w:before="120" w:after="120" w:line="247" w:lineRule="auto"/>
              <w:ind w:left="0" w:right="516" w:firstLine="0"/>
              <w:jc w:val="center"/>
              <w:rPr>
                <w:sz w:val="20"/>
                <w:szCs w:val="20"/>
                <w:lang w:val="en-GB"/>
              </w:rPr>
            </w:pPr>
            <w:r w:rsidRPr="009D13CF">
              <w:rPr>
                <w:b/>
                <w:bCs/>
                <w:lang w:val="en-GB"/>
              </w:rPr>
              <w:t>(</w:t>
            </w:r>
            <w:r w:rsidRPr="009D13CF">
              <w:rPr>
                <w:b/>
                <w:bCs/>
                <w:lang w:val="en-GB"/>
              </w:rPr>
              <w:t>5</w:t>
            </w:r>
            <w:r w:rsidRPr="009D13CF">
              <w:rPr>
                <w:b/>
                <w:bCs/>
                <w:lang w:val="en-GB"/>
              </w:rPr>
              <w:t xml:space="preserve">) Fully Online National </w:t>
            </w:r>
            <w:r w:rsidRPr="009D13CF">
              <w:rPr>
                <w:b/>
                <w:bCs/>
                <w:lang w:val="en-GB"/>
              </w:rPr>
              <w:t>and Transnational</w:t>
            </w:r>
            <w:r w:rsidRPr="009D13CF">
              <w:rPr>
                <w:sz w:val="20"/>
                <w:szCs w:val="20"/>
                <w:lang w:val="en-GB"/>
              </w:rPr>
              <w:t xml:space="preserve"> </w:t>
            </w:r>
            <w:r>
              <w:rPr>
                <w:sz w:val="20"/>
                <w:szCs w:val="20"/>
                <w:lang w:val="en-GB"/>
              </w:rPr>
              <w:t>-</w:t>
            </w:r>
            <w:r w:rsidRPr="009D13CF">
              <w:rPr>
                <w:b/>
                <w:bCs/>
                <w:lang w:val="en-GB"/>
              </w:rPr>
              <w:t>Synchronous and Asynchronous</w:t>
            </w:r>
          </w:p>
          <w:p w14:paraId="34E1CDD0" w14:textId="3BFB64BD" w:rsidR="009D13CF" w:rsidRPr="00D44E22" w:rsidRDefault="009D13CF" w:rsidP="009D13CF">
            <w:pPr>
              <w:spacing w:before="120" w:after="120" w:line="247" w:lineRule="auto"/>
              <w:ind w:left="0" w:right="516" w:firstLine="0"/>
              <w:jc w:val="center"/>
              <w:rPr>
                <w:lang w:val="en-GB"/>
              </w:rPr>
            </w:pPr>
            <w:r>
              <w:rPr>
                <w:sz w:val="20"/>
                <w:szCs w:val="20"/>
                <w:lang w:val="en-GB"/>
              </w:rPr>
              <w:t>L</w:t>
            </w:r>
            <w:r w:rsidRPr="00D44E22">
              <w:rPr>
                <w:sz w:val="20"/>
                <w:szCs w:val="20"/>
                <w:lang w:val="en-GB"/>
              </w:rPr>
              <w:t xml:space="preserve">earners </w:t>
            </w:r>
            <w:r>
              <w:rPr>
                <w:sz w:val="20"/>
                <w:szCs w:val="20"/>
                <w:lang w:val="en-GB"/>
              </w:rPr>
              <w:t xml:space="preserve">potentially in designated countries outside </w:t>
            </w:r>
            <w:r w:rsidRPr="00D44E22">
              <w:rPr>
                <w:sz w:val="20"/>
                <w:szCs w:val="20"/>
                <w:lang w:val="en-GB"/>
              </w:rPr>
              <w:t>Ireland)</w:t>
            </w:r>
          </w:p>
        </w:tc>
      </w:tr>
      <w:tr w:rsidR="009D13CF" w:rsidRPr="004467CA" w14:paraId="273DEF37" w14:textId="77777777" w:rsidTr="009D13CF">
        <w:tc>
          <w:tcPr>
            <w:tcW w:w="2405" w:type="dxa"/>
            <w:gridSpan w:val="2"/>
            <w:shd w:val="clear" w:color="auto" w:fill="FFFFFF" w:themeFill="background1"/>
          </w:tcPr>
          <w:p w14:paraId="7D6F750E" w14:textId="77777777" w:rsidR="009D13CF" w:rsidRDefault="009D13CF" w:rsidP="009D13CF">
            <w:pPr>
              <w:spacing w:before="120" w:after="120" w:line="247" w:lineRule="auto"/>
              <w:ind w:left="0" w:right="516" w:firstLine="0"/>
              <w:rPr>
                <w:b/>
                <w:bCs/>
                <w:lang w:val="en-GB"/>
              </w:rPr>
            </w:pPr>
          </w:p>
        </w:tc>
        <w:tc>
          <w:tcPr>
            <w:tcW w:w="2835" w:type="dxa"/>
            <w:shd w:val="clear" w:color="auto" w:fill="auto"/>
          </w:tcPr>
          <w:p w14:paraId="37EA9CD6" w14:textId="77777777" w:rsidR="009D13CF" w:rsidRDefault="009D13CF" w:rsidP="009D13CF">
            <w:pPr>
              <w:spacing w:before="120" w:after="120" w:line="247" w:lineRule="auto"/>
              <w:ind w:left="0" w:right="516" w:firstLine="0"/>
              <w:jc w:val="center"/>
              <w:rPr>
                <w:b/>
                <w:bCs/>
                <w:lang w:val="en-GB"/>
              </w:rPr>
            </w:pPr>
          </w:p>
        </w:tc>
        <w:tc>
          <w:tcPr>
            <w:tcW w:w="2977" w:type="dxa"/>
            <w:shd w:val="clear" w:color="auto" w:fill="auto"/>
          </w:tcPr>
          <w:p w14:paraId="4F247E0D" w14:textId="77777777" w:rsidR="009D13CF" w:rsidRPr="00E21D3D" w:rsidRDefault="009D13CF" w:rsidP="009D13CF">
            <w:pPr>
              <w:spacing w:before="120" w:after="120" w:line="247" w:lineRule="auto"/>
              <w:ind w:left="0" w:right="516" w:firstLine="0"/>
              <w:jc w:val="center"/>
              <w:rPr>
                <w:b/>
                <w:bCs/>
                <w:lang w:val="en-GB"/>
              </w:rPr>
            </w:pPr>
          </w:p>
        </w:tc>
        <w:tc>
          <w:tcPr>
            <w:tcW w:w="6095" w:type="dxa"/>
            <w:gridSpan w:val="2"/>
            <w:shd w:val="clear" w:color="auto" w:fill="auto"/>
          </w:tcPr>
          <w:p w14:paraId="3E8FA1C6" w14:textId="333D3B9B" w:rsidR="009D13CF" w:rsidRPr="00E21D3D" w:rsidRDefault="009D13CF" w:rsidP="009D13CF">
            <w:pPr>
              <w:spacing w:before="120" w:after="120" w:line="247" w:lineRule="auto"/>
              <w:ind w:left="0" w:right="516" w:firstLine="0"/>
              <w:jc w:val="center"/>
              <w:rPr>
                <w:b/>
                <w:bCs/>
                <w:lang w:val="en-GB"/>
              </w:rPr>
            </w:pPr>
          </w:p>
        </w:tc>
      </w:tr>
    </w:tbl>
    <w:p w14:paraId="5DFB485D" w14:textId="77777777" w:rsidR="00C85F0F" w:rsidRDefault="00C85F0F"/>
    <w:p w14:paraId="789607F6" w14:textId="3127A9C4" w:rsidR="00E85F65" w:rsidRDefault="00C85F0F" w:rsidP="00E85F65">
      <w:pPr>
        <w:ind w:left="0" w:right="66" w:firstLine="0"/>
      </w:pPr>
      <w:r>
        <w:t xml:space="preserve">The purpose of the </w:t>
      </w:r>
      <w:r w:rsidR="00F92C58">
        <w:t>self-assessment</w:t>
      </w:r>
      <w:r>
        <w:t xml:space="preserve"> is to </w:t>
      </w:r>
      <w:r w:rsidR="00F92C58">
        <w:t>review</w:t>
      </w:r>
      <w:r w:rsidR="004F24A3">
        <w:t>,</w:t>
      </w:r>
      <w:r w:rsidR="00F92C58">
        <w:t xml:space="preserve"> </w:t>
      </w:r>
      <w:r w:rsidR="00581FE9">
        <w:t xml:space="preserve">with reference to </w:t>
      </w:r>
      <w:r w:rsidR="004F24A3">
        <w:t xml:space="preserve">the </w:t>
      </w:r>
      <w:r w:rsidR="00581FE9">
        <w:t>new quality assurance guidelines</w:t>
      </w:r>
      <w:r w:rsidR="004F24A3">
        <w:t xml:space="preserve"> and the table above</w:t>
      </w:r>
      <w:r w:rsidR="00581FE9">
        <w:t xml:space="preserve">, </w:t>
      </w:r>
      <w:r w:rsidR="004F24A3">
        <w:t xml:space="preserve">the provider’s </w:t>
      </w:r>
      <w:r w:rsidR="00F92C58">
        <w:t xml:space="preserve">current infrastructure, resourcing, staffing, </w:t>
      </w:r>
      <w:r w:rsidR="001D061A">
        <w:t>governance,</w:t>
      </w:r>
      <w:r w:rsidR="00F92C58">
        <w:t xml:space="preserve"> and </w:t>
      </w:r>
      <w:r w:rsidR="00E85F65">
        <w:t>documented quality assurance procedures to</w:t>
      </w:r>
      <w:r w:rsidR="004F24A3">
        <w:t xml:space="preserve"> identify</w:t>
      </w:r>
      <w:r w:rsidR="00E85F65">
        <w:t>:</w:t>
      </w:r>
    </w:p>
    <w:p w14:paraId="4742BD1A" w14:textId="79D436BA" w:rsidR="001D34F6" w:rsidRDefault="001D34F6" w:rsidP="004F24A3">
      <w:pPr>
        <w:pStyle w:val="ListParagraph"/>
        <w:numPr>
          <w:ilvl w:val="0"/>
          <w:numId w:val="5"/>
        </w:numPr>
        <w:ind w:right="66"/>
      </w:pPr>
      <w:r>
        <w:t>Current position in each of the three contexts and overall, i.e. Emerging, Developing, Mature</w:t>
      </w:r>
    </w:p>
    <w:p w14:paraId="12790111" w14:textId="52836497" w:rsidR="004F24A3" w:rsidRDefault="001E1049" w:rsidP="001D34F6">
      <w:pPr>
        <w:pStyle w:val="ListParagraph"/>
        <w:numPr>
          <w:ilvl w:val="0"/>
          <w:numId w:val="5"/>
        </w:numPr>
        <w:ind w:right="66"/>
      </w:pPr>
      <w:r>
        <w:t>What is already in place.</w:t>
      </w:r>
    </w:p>
    <w:p w14:paraId="78E2EF4C" w14:textId="2502F3A5" w:rsidR="001E1049" w:rsidRDefault="001E1049" w:rsidP="004F24A3">
      <w:pPr>
        <w:pStyle w:val="ListParagraph"/>
        <w:numPr>
          <w:ilvl w:val="0"/>
          <w:numId w:val="5"/>
        </w:numPr>
        <w:ind w:right="66"/>
      </w:pPr>
      <w:r>
        <w:t>What is not in place and needs to be.</w:t>
      </w:r>
    </w:p>
    <w:p w14:paraId="581E06B9" w14:textId="50EE957D" w:rsidR="001E1049" w:rsidRDefault="00F05628" w:rsidP="001D061A">
      <w:pPr>
        <w:ind w:left="0" w:right="66" w:firstLine="0"/>
      </w:pPr>
      <w:r>
        <w:t xml:space="preserve">The self-assessment should be </w:t>
      </w:r>
      <w:r w:rsidR="00FB5358">
        <w:t xml:space="preserve">supplemented with an Action Plan </w:t>
      </w:r>
      <w:r w:rsidR="00B34D30">
        <w:t xml:space="preserve">devised by the provider </w:t>
      </w:r>
      <w:r w:rsidR="00FB5358">
        <w:t>to set out</w:t>
      </w:r>
      <w:r w:rsidR="001D061A">
        <w:t xml:space="preserve"> h</w:t>
      </w:r>
      <w:r w:rsidR="005A3F14">
        <w:t xml:space="preserve">ow and when </w:t>
      </w:r>
      <w:r w:rsidR="000B2219">
        <w:t>are those gaps</w:t>
      </w:r>
      <w:r w:rsidR="005A3F14">
        <w:t xml:space="preserve"> to be</w:t>
      </w:r>
      <w:r w:rsidR="000B2219">
        <w:t xml:space="preserve"> filled.</w:t>
      </w:r>
      <w:r w:rsidR="005A3F14">
        <w:t xml:space="preserve"> </w:t>
      </w:r>
    </w:p>
    <w:p w14:paraId="49FEAC49" w14:textId="4A5C513A" w:rsidR="00174FCE" w:rsidRPr="002C20D5" w:rsidRDefault="00174FCE" w:rsidP="002C20D5">
      <w:pPr>
        <w:ind w:left="66" w:right="66" w:firstLine="0"/>
        <w:rPr>
          <w:b/>
          <w:bCs/>
          <w:lang w:val="en-GB"/>
        </w:rPr>
      </w:pPr>
    </w:p>
    <w:tbl>
      <w:tblPr>
        <w:tblStyle w:val="TableGrid0"/>
        <w:tblpPr w:leftFromText="180" w:rightFromText="180" w:vertAnchor="page" w:horzAnchor="margin" w:tblpY="943"/>
        <w:tblW w:w="14029" w:type="dxa"/>
        <w:tblLook w:val="04A0" w:firstRow="1" w:lastRow="0" w:firstColumn="1" w:lastColumn="0" w:noHBand="0" w:noVBand="1"/>
      </w:tblPr>
      <w:tblGrid>
        <w:gridCol w:w="2485"/>
        <w:gridCol w:w="11544"/>
      </w:tblGrid>
      <w:tr w:rsidR="009867D9" w:rsidRPr="004467CA" w14:paraId="099EB6F2" w14:textId="77777777" w:rsidTr="00184926">
        <w:tc>
          <w:tcPr>
            <w:tcW w:w="14029" w:type="dxa"/>
            <w:gridSpan w:val="2"/>
            <w:shd w:val="clear" w:color="auto" w:fill="BDD6EE" w:themeFill="accent5" w:themeFillTint="66"/>
          </w:tcPr>
          <w:p w14:paraId="57A254DE" w14:textId="4683D13B" w:rsidR="009867D9" w:rsidRPr="00E21D3D" w:rsidRDefault="009867D9" w:rsidP="00ED6C6F">
            <w:pPr>
              <w:spacing w:before="120" w:after="120" w:line="247" w:lineRule="auto"/>
              <w:ind w:left="0" w:right="516" w:firstLine="0"/>
              <w:jc w:val="center"/>
              <w:rPr>
                <w:b/>
                <w:bCs/>
                <w:lang w:val="en-GB"/>
              </w:rPr>
            </w:pPr>
            <w:r w:rsidRPr="00E21D3D">
              <w:rPr>
                <w:b/>
                <w:bCs/>
                <w:lang w:val="en-GB"/>
              </w:rPr>
              <w:t>ORGANISATIONAL CONTEXT</w:t>
            </w:r>
          </w:p>
        </w:tc>
      </w:tr>
      <w:tr w:rsidR="00ED6C6F" w:rsidRPr="004467CA" w14:paraId="7DDEFADE" w14:textId="77777777" w:rsidTr="009867D9">
        <w:tc>
          <w:tcPr>
            <w:tcW w:w="2485" w:type="dxa"/>
            <w:tcBorders>
              <w:bottom w:val="single" w:sz="4" w:space="0" w:color="auto"/>
            </w:tcBorders>
          </w:tcPr>
          <w:p w14:paraId="507411FA" w14:textId="77777777" w:rsidR="00ED6C6F" w:rsidRPr="00DE294D" w:rsidRDefault="00ED6C6F" w:rsidP="00ED6C6F">
            <w:pPr>
              <w:tabs>
                <w:tab w:val="center" w:pos="2916"/>
              </w:tabs>
              <w:spacing w:before="120" w:after="120" w:line="240" w:lineRule="auto"/>
              <w:ind w:left="0" w:right="0" w:firstLine="0"/>
              <w:rPr>
                <w:b/>
                <w:bCs/>
                <w:lang w:val="en-GB"/>
              </w:rPr>
            </w:pPr>
            <w:r w:rsidRPr="00DE294D">
              <w:rPr>
                <w:b/>
                <w:bCs/>
                <w:lang w:val="en-GB"/>
              </w:rPr>
              <w:t>Scoping Statement</w:t>
            </w:r>
          </w:p>
        </w:tc>
        <w:tc>
          <w:tcPr>
            <w:tcW w:w="11544" w:type="dxa"/>
          </w:tcPr>
          <w:p w14:paraId="0FE2763F" w14:textId="77777777" w:rsidR="00ED6C6F" w:rsidRPr="001F7225" w:rsidRDefault="00ED6C6F" w:rsidP="00ED6C6F">
            <w:pPr>
              <w:spacing w:before="60" w:after="60" w:line="247" w:lineRule="auto"/>
              <w:ind w:left="0" w:right="85" w:hanging="11"/>
              <w:rPr>
                <w:lang w:val="en-GB"/>
              </w:rPr>
            </w:pPr>
            <w:r w:rsidRPr="001F7225">
              <w:rPr>
                <w:lang w:val="en-GB"/>
              </w:rPr>
              <w:t>The Organisational Context focuses on strategic and institution-wide aspects of managing quality for programmes supported by blended and fully online provision. It establishes whether appropriate procedures are in place for strategy, policies, regulations and administrative processes, finance, infrastructure, resources, training and professional development, institutional support, strategic collaboration, and partnerships, and addressing issues related to learners studying outside of Ireland.</w:t>
            </w:r>
          </w:p>
        </w:tc>
      </w:tr>
      <w:tr w:rsidR="008E210A" w:rsidRPr="004467CA" w14:paraId="29325E4F" w14:textId="77777777" w:rsidTr="00184926">
        <w:tc>
          <w:tcPr>
            <w:tcW w:w="14029" w:type="dxa"/>
            <w:gridSpan w:val="2"/>
            <w:tcBorders>
              <w:top w:val="single" w:sz="4" w:space="0" w:color="auto"/>
            </w:tcBorders>
            <w:shd w:val="clear" w:color="auto" w:fill="BDD6EE" w:themeFill="accent5" w:themeFillTint="66"/>
          </w:tcPr>
          <w:p w14:paraId="596C4225" w14:textId="4F6C300B" w:rsidR="008E210A" w:rsidRPr="00205765" w:rsidRDefault="008E210A" w:rsidP="00ED6C6F">
            <w:pPr>
              <w:spacing w:before="120" w:after="120" w:line="247" w:lineRule="auto"/>
              <w:ind w:left="0" w:right="516" w:firstLine="0"/>
              <w:rPr>
                <w:b/>
                <w:bCs/>
                <w:sz w:val="20"/>
                <w:szCs w:val="20"/>
                <w:lang w:val="en-GB"/>
              </w:rPr>
            </w:pPr>
            <w:r w:rsidRPr="00205765">
              <w:rPr>
                <w:b/>
                <w:bCs/>
                <w:sz w:val="20"/>
                <w:szCs w:val="20"/>
                <w:lang w:val="en-GB"/>
              </w:rPr>
              <w:t>1. Strategy, Management and Implementation Plans</w:t>
            </w:r>
          </w:p>
        </w:tc>
      </w:tr>
      <w:tr w:rsidR="00ED6C6F" w:rsidRPr="004467CA" w14:paraId="0FB058C2" w14:textId="77777777" w:rsidTr="009867D9">
        <w:tc>
          <w:tcPr>
            <w:tcW w:w="2485" w:type="dxa"/>
          </w:tcPr>
          <w:p w14:paraId="0A3E5AF6" w14:textId="77777777" w:rsidR="00ED6C6F" w:rsidRPr="00205765" w:rsidRDefault="00ED6C6F" w:rsidP="00ED6C6F">
            <w:pPr>
              <w:spacing w:before="120" w:after="120" w:line="247" w:lineRule="auto"/>
              <w:ind w:left="0" w:right="176" w:firstLine="0"/>
              <w:rPr>
                <w:sz w:val="20"/>
                <w:szCs w:val="20"/>
                <w:lang w:val="en-GB"/>
              </w:rPr>
            </w:pPr>
            <w:r w:rsidRPr="00205765">
              <w:rPr>
                <w:b/>
                <w:bCs/>
                <w:sz w:val="20"/>
                <w:szCs w:val="20"/>
                <w:lang w:val="en-GB"/>
              </w:rPr>
              <w:t>Good Practice Statement</w:t>
            </w:r>
          </w:p>
        </w:tc>
        <w:tc>
          <w:tcPr>
            <w:tcW w:w="11544" w:type="dxa"/>
            <w:tcBorders>
              <w:bottom w:val="single" w:sz="4" w:space="0" w:color="auto"/>
            </w:tcBorders>
            <w:shd w:val="clear" w:color="auto" w:fill="auto"/>
          </w:tcPr>
          <w:p w14:paraId="15343A61" w14:textId="0B26D596" w:rsidR="00ED6C6F" w:rsidRPr="00205765" w:rsidRDefault="00ED6C6F" w:rsidP="00ED6C6F">
            <w:pPr>
              <w:spacing w:before="120" w:after="120" w:line="247" w:lineRule="auto"/>
              <w:ind w:left="0" w:right="312" w:firstLine="0"/>
              <w:rPr>
                <w:rFonts w:asciiTheme="minorHAnsi" w:hAnsiTheme="minorHAnsi" w:cstheme="minorHAnsi"/>
                <w:sz w:val="20"/>
                <w:szCs w:val="20"/>
                <w:lang w:val="en-GB"/>
              </w:rPr>
            </w:pPr>
            <w:r w:rsidRPr="0051259A">
              <w:rPr>
                <w:sz w:val="20"/>
                <w:szCs w:val="20"/>
                <w:lang w:val="en-GB"/>
              </w:rPr>
              <w:t xml:space="preserve">A clear vision, explicit strategy, and well-developed management plans are established to support initiation, development, provision, review and maintenance of </w:t>
            </w:r>
            <w:r w:rsidR="00D44968">
              <w:rPr>
                <w:sz w:val="20"/>
                <w:szCs w:val="20"/>
                <w:lang w:val="en-GB"/>
              </w:rPr>
              <w:t>programmes within the desired scope of provision set out above</w:t>
            </w:r>
            <w:r w:rsidRPr="0051259A">
              <w:rPr>
                <w:sz w:val="20"/>
                <w:szCs w:val="20"/>
                <w:lang w:val="en-GB"/>
              </w:rPr>
              <w:t>.</w:t>
            </w:r>
          </w:p>
        </w:tc>
      </w:tr>
      <w:tr w:rsidR="00ED6C6F" w:rsidRPr="004467CA" w14:paraId="10E4B86C" w14:textId="77777777" w:rsidTr="009867D9">
        <w:tc>
          <w:tcPr>
            <w:tcW w:w="2485" w:type="dxa"/>
          </w:tcPr>
          <w:p w14:paraId="7B49C2D2" w14:textId="77777777" w:rsidR="00ED6C6F" w:rsidRPr="00205765" w:rsidRDefault="00ED6C6F" w:rsidP="00ED6C6F">
            <w:pPr>
              <w:spacing w:before="120" w:after="120" w:line="247" w:lineRule="auto"/>
              <w:ind w:left="0" w:right="516" w:firstLine="0"/>
              <w:rPr>
                <w:sz w:val="20"/>
                <w:szCs w:val="20"/>
                <w:lang w:val="en-GB"/>
              </w:rPr>
            </w:pPr>
            <w:r w:rsidRPr="00205765">
              <w:rPr>
                <w:b/>
                <w:bCs/>
                <w:sz w:val="20"/>
                <w:szCs w:val="20"/>
                <w:lang w:val="en-GB"/>
              </w:rPr>
              <w:t>Provider’s Evidence</w:t>
            </w:r>
          </w:p>
        </w:tc>
        <w:tc>
          <w:tcPr>
            <w:tcW w:w="11544" w:type="dxa"/>
          </w:tcPr>
          <w:p w14:paraId="57C3E2E8" w14:textId="77777777" w:rsidR="00ED6C6F" w:rsidRPr="00205765" w:rsidRDefault="00ED6C6F" w:rsidP="00ED6C6F">
            <w:pPr>
              <w:spacing w:before="120" w:after="120" w:line="235" w:lineRule="auto"/>
              <w:ind w:left="0" w:right="391" w:firstLine="0"/>
              <w:rPr>
                <w:bCs/>
                <w:sz w:val="20"/>
                <w:szCs w:val="20"/>
                <w:lang w:val="en-GB"/>
              </w:rPr>
            </w:pPr>
          </w:p>
        </w:tc>
      </w:tr>
      <w:tr w:rsidR="00ED6C6F" w:rsidRPr="004467CA" w14:paraId="2892A7C7" w14:textId="77777777" w:rsidTr="00184926">
        <w:tc>
          <w:tcPr>
            <w:tcW w:w="14029" w:type="dxa"/>
            <w:gridSpan w:val="2"/>
            <w:shd w:val="clear" w:color="auto" w:fill="BDD6EE" w:themeFill="accent5" w:themeFillTint="66"/>
          </w:tcPr>
          <w:p w14:paraId="3183CE6B" w14:textId="77777777" w:rsidR="00ED6C6F" w:rsidRPr="00205765" w:rsidRDefault="00ED6C6F" w:rsidP="00ED6C6F">
            <w:pPr>
              <w:spacing w:before="120" w:after="120" w:line="235" w:lineRule="auto"/>
              <w:ind w:left="0" w:right="391" w:firstLine="0"/>
              <w:rPr>
                <w:bCs/>
                <w:sz w:val="20"/>
                <w:szCs w:val="20"/>
                <w:lang w:val="en-GB"/>
              </w:rPr>
            </w:pPr>
            <w:r w:rsidRPr="00205765">
              <w:rPr>
                <w:b/>
                <w:bCs/>
                <w:sz w:val="20"/>
                <w:szCs w:val="20"/>
                <w:lang w:val="en-GB"/>
              </w:rPr>
              <w:t>2</w:t>
            </w:r>
            <w:r w:rsidRPr="00205765">
              <w:rPr>
                <w:b/>
                <w:bCs/>
                <w:sz w:val="20"/>
                <w:szCs w:val="20"/>
                <w:shd w:val="clear" w:color="auto" w:fill="BDD6EE" w:themeFill="accent5" w:themeFillTint="66"/>
                <w:lang w:val="en-GB"/>
              </w:rPr>
              <w:t>. Policies, Regulations and Administrative Processes</w:t>
            </w:r>
          </w:p>
        </w:tc>
      </w:tr>
      <w:tr w:rsidR="00ED6C6F" w:rsidRPr="004467CA" w14:paraId="1DFC3955" w14:textId="77777777" w:rsidTr="009867D9">
        <w:tc>
          <w:tcPr>
            <w:tcW w:w="2485" w:type="dxa"/>
          </w:tcPr>
          <w:p w14:paraId="1D3B4D05"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Good Practice Statement</w:t>
            </w:r>
          </w:p>
        </w:tc>
        <w:tc>
          <w:tcPr>
            <w:tcW w:w="11544" w:type="dxa"/>
          </w:tcPr>
          <w:p w14:paraId="0706767C" w14:textId="313D2BFC" w:rsidR="00ED6C6F" w:rsidRPr="00205765" w:rsidRDefault="00ED6C6F" w:rsidP="00ED6C6F">
            <w:pPr>
              <w:spacing w:before="120" w:after="120" w:line="235" w:lineRule="auto"/>
              <w:ind w:left="0" w:right="391" w:firstLine="0"/>
              <w:rPr>
                <w:bCs/>
                <w:sz w:val="20"/>
                <w:szCs w:val="20"/>
                <w:lang w:val="en-GB"/>
              </w:rPr>
            </w:pPr>
            <w:r w:rsidRPr="0051259A">
              <w:rPr>
                <w:sz w:val="20"/>
                <w:szCs w:val="20"/>
                <w:lang w:val="en-GB"/>
              </w:rPr>
              <w:t xml:space="preserve">A clear set of policies, regulations and fit-for-purpose administrative processes address, support and enable good practice for </w:t>
            </w:r>
            <w:r w:rsidR="00D44968">
              <w:rPr>
                <w:sz w:val="20"/>
                <w:szCs w:val="20"/>
                <w:lang w:val="en-GB"/>
              </w:rPr>
              <w:t xml:space="preserve">programmes </w:t>
            </w:r>
            <w:r w:rsidR="00D466FC">
              <w:rPr>
                <w:sz w:val="20"/>
                <w:szCs w:val="20"/>
                <w:lang w:val="en-GB"/>
              </w:rPr>
              <w:t xml:space="preserve">provided </w:t>
            </w:r>
            <w:r w:rsidR="00D44968">
              <w:rPr>
                <w:sz w:val="20"/>
                <w:szCs w:val="20"/>
                <w:lang w:val="en-GB"/>
              </w:rPr>
              <w:t>within the desired scope of provision set out above</w:t>
            </w:r>
            <w:r w:rsidRPr="0051259A">
              <w:rPr>
                <w:sz w:val="20"/>
                <w:szCs w:val="20"/>
                <w:lang w:val="en-GB"/>
              </w:rPr>
              <w:t>.</w:t>
            </w:r>
          </w:p>
        </w:tc>
      </w:tr>
      <w:tr w:rsidR="00ED6C6F" w:rsidRPr="004467CA" w14:paraId="2E774F1D" w14:textId="77777777" w:rsidTr="009867D9">
        <w:tc>
          <w:tcPr>
            <w:tcW w:w="2485" w:type="dxa"/>
          </w:tcPr>
          <w:p w14:paraId="703033E3"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Provider’s Evidence</w:t>
            </w:r>
          </w:p>
        </w:tc>
        <w:tc>
          <w:tcPr>
            <w:tcW w:w="11544" w:type="dxa"/>
          </w:tcPr>
          <w:p w14:paraId="04438CA5" w14:textId="77777777" w:rsidR="00ED6C6F" w:rsidRPr="00205765" w:rsidRDefault="00ED6C6F" w:rsidP="00ED6C6F">
            <w:pPr>
              <w:spacing w:before="120" w:after="120" w:line="235" w:lineRule="auto"/>
              <w:ind w:left="0" w:right="391" w:firstLine="0"/>
              <w:rPr>
                <w:bCs/>
                <w:sz w:val="20"/>
                <w:szCs w:val="20"/>
                <w:lang w:val="en-GB"/>
              </w:rPr>
            </w:pPr>
          </w:p>
        </w:tc>
      </w:tr>
      <w:tr w:rsidR="00ED6C6F" w:rsidRPr="004467CA" w14:paraId="7D6DA093" w14:textId="77777777" w:rsidTr="00184926">
        <w:tc>
          <w:tcPr>
            <w:tcW w:w="14029" w:type="dxa"/>
            <w:gridSpan w:val="2"/>
            <w:shd w:val="clear" w:color="auto" w:fill="BDD6EE" w:themeFill="accent5" w:themeFillTint="66"/>
          </w:tcPr>
          <w:p w14:paraId="3222D5B7" w14:textId="77777777" w:rsidR="00ED6C6F" w:rsidRPr="00205765" w:rsidRDefault="00ED6C6F" w:rsidP="00ED6C6F">
            <w:pPr>
              <w:spacing w:before="120" w:after="120" w:line="235" w:lineRule="auto"/>
              <w:ind w:left="0" w:right="391" w:firstLine="22"/>
              <w:rPr>
                <w:bCs/>
                <w:sz w:val="20"/>
                <w:szCs w:val="20"/>
                <w:lang w:val="en-GB"/>
              </w:rPr>
            </w:pPr>
            <w:r w:rsidRPr="00205765">
              <w:rPr>
                <w:b/>
                <w:bCs/>
                <w:sz w:val="20"/>
                <w:szCs w:val="20"/>
                <w:lang w:val="en-GB"/>
              </w:rPr>
              <w:t>3. Finances, Infrastructure and Resources</w:t>
            </w:r>
          </w:p>
        </w:tc>
      </w:tr>
      <w:tr w:rsidR="00ED6C6F" w:rsidRPr="004467CA" w14:paraId="0BCB5E08" w14:textId="77777777" w:rsidTr="009867D9">
        <w:tc>
          <w:tcPr>
            <w:tcW w:w="2485" w:type="dxa"/>
          </w:tcPr>
          <w:p w14:paraId="71B61219"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Good Practice Statement</w:t>
            </w:r>
          </w:p>
        </w:tc>
        <w:tc>
          <w:tcPr>
            <w:tcW w:w="11544" w:type="dxa"/>
          </w:tcPr>
          <w:p w14:paraId="70E13C18" w14:textId="2619B14A" w:rsidR="00ED6C6F" w:rsidRPr="00205765" w:rsidRDefault="00ED6C6F" w:rsidP="00ED6C6F">
            <w:pPr>
              <w:spacing w:before="120" w:after="120" w:line="235" w:lineRule="auto"/>
              <w:ind w:left="0" w:right="391" w:firstLine="0"/>
              <w:rPr>
                <w:bCs/>
                <w:sz w:val="20"/>
                <w:szCs w:val="20"/>
                <w:lang w:val="en-GB"/>
              </w:rPr>
            </w:pPr>
            <w:r w:rsidRPr="0051259A">
              <w:rPr>
                <w:sz w:val="20"/>
                <w:szCs w:val="20"/>
                <w:lang w:val="en-GB"/>
              </w:rPr>
              <w:t xml:space="preserve">The level of financial investment, type of IT infrastructure and available resources build capacity and enable good practice for </w:t>
            </w:r>
            <w:r w:rsidR="00D44968">
              <w:rPr>
                <w:sz w:val="20"/>
                <w:szCs w:val="20"/>
                <w:lang w:val="en-GB"/>
              </w:rPr>
              <w:t xml:space="preserve">programmes </w:t>
            </w:r>
            <w:r w:rsidR="00D466FC">
              <w:rPr>
                <w:sz w:val="20"/>
                <w:szCs w:val="20"/>
                <w:lang w:val="en-GB"/>
              </w:rPr>
              <w:t xml:space="preserve">provided </w:t>
            </w:r>
            <w:r w:rsidR="00D44968">
              <w:rPr>
                <w:sz w:val="20"/>
                <w:szCs w:val="20"/>
                <w:lang w:val="en-GB"/>
              </w:rPr>
              <w:t>within the desired scope of provision set out above</w:t>
            </w:r>
            <w:r w:rsidRPr="0051259A">
              <w:rPr>
                <w:sz w:val="20"/>
                <w:szCs w:val="20"/>
                <w:lang w:val="en-GB"/>
              </w:rPr>
              <w:t>.</w:t>
            </w:r>
          </w:p>
        </w:tc>
      </w:tr>
      <w:tr w:rsidR="00ED6C6F" w:rsidRPr="004467CA" w14:paraId="755C2B71" w14:textId="77777777" w:rsidTr="009867D9">
        <w:tc>
          <w:tcPr>
            <w:tcW w:w="2485" w:type="dxa"/>
          </w:tcPr>
          <w:p w14:paraId="13E30F62"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Provider’s Evidence</w:t>
            </w:r>
          </w:p>
        </w:tc>
        <w:tc>
          <w:tcPr>
            <w:tcW w:w="11544" w:type="dxa"/>
          </w:tcPr>
          <w:p w14:paraId="08D1D81B" w14:textId="77777777" w:rsidR="00ED6C6F" w:rsidRPr="00205765" w:rsidRDefault="00ED6C6F" w:rsidP="00ED6C6F">
            <w:pPr>
              <w:spacing w:before="120" w:after="120" w:line="235" w:lineRule="auto"/>
              <w:ind w:left="0" w:right="391" w:firstLine="0"/>
              <w:rPr>
                <w:bCs/>
                <w:sz w:val="20"/>
                <w:szCs w:val="20"/>
                <w:lang w:val="en-GB"/>
              </w:rPr>
            </w:pPr>
          </w:p>
        </w:tc>
      </w:tr>
    </w:tbl>
    <w:p w14:paraId="67FDAB7B" w14:textId="77777777" w:rsidR="00ED6C6F" w:rsidRDefault="00ED6C6F">
      <w:r>
        <w:br w:type="page"/>
      </w:r>
    </w:p>
    <w:tbl>
      <w:tblPr>
        <w:tblStyle w:val="TableGrid0"/>
        <w:tblpPr w:leftFromText="180" w:rightFromText="180" w:vertAnchor="page" w:horzAnchor="margin" w:tblpY="1006"/>
        <w:tblW w:w="14029" w:type="dxa"/>
        <w:tblLook w:val="04A0" w:firstRow="1" w:lastRow="0" w:firstColumn="1" w:lastColumn="0" w:noHBand="0" w:noVBand="1"/>
      </w:tblPr>
      <w:tblGrid>
        <w:gridCol w:w="2208"/>
        <w:gridCol w:w="2187"/>
        <w:gridCol w:w="5103"/>
        <w:gridCol w:w="4531"/>
      </w:tblGrid>
      <w:tr w:rsidR="00ED6C6F" w:rsidRPr="004467CA" w14:paraId="2D0E7F78" w14:textId="77777777" w:rsidTr="00184926">
        <w:tc>
          <w:tcPr>
            <w:tcW w:w="14029" w:type="dxa"/>
            <w:gridSpan w:val="4"/>
            <w:shd w:val="clear" w:color="auto" w:fill="BDD6EE" w:themeFill="accent5" w:themeFillTint="66"/>
          </w:tcPr>
          <w:p w14:paraId="6BFB919F" w14:textId="2B013291" w:rsidR="00ED6C6F" w:rsidRPr="00205765" w:rsidRDefault="00ED6C6F" w:rsidP="00ED6C6F">
            <w:pPr>
              <w:spacing w:before="120" w:after="120" w:line="235" w:lineRule="auto"/>
              <w:ind w:left="0" w:right="391" w:firstLine="0"/>
              <w:rPr>
                <w:bCs/>
                <w:sz w:val="20"/>
                <w:szCs w:val="20"/>
                <w:lang w:val="en-GB"/>
              </w:rPr>
            </w:pPr>
            <w:r w:rsidRPr="00205765">
              <w:rPr>
                <w:b/>
                <w:bCs/>
                <w:sz w:val="20"/>
                <w:szCs w:val="20"/>
                <w:lang w:val="en-GB"/>
              </w:rPr>
              <w:lastRenderedPageBreak/>
              <w:t>4. Staff Training, Professional Development and Institutional Support</w:t>
            </w:r>
          </w:p>
        </w:tc>
      </w:tr>
      <w:tr w:rsidR="00ED6C6F" w:rsidRPr="004467CA" w14:paraId="181BDE43" w14:textId="77777777" w:rsidTr="00184926">
        <w:tc>
          <w:tcPr>
            <w:tcW w:w="2208" w:type="dxa"/>
          </w:tcPr>
          <w:p w14:paraId="203CD811"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Good Practice Statement</w:t>
            </w:r>
          </w:p>
        </w:tc>
        <w:tc>
          <w:tcPr>
            <w:tcW w:w="11821" w:type="dxa"/>
            <w:gridSpan w:val="3"/>
          </w:tcPr>
          <w:p w14:paraId="5939C3DD" w14:textId="46464251" w:rsidR="00ED6C6F" w:rsidRPr="00205765" w:rsidRDefault="00ED6C6F" w:rsidP="00ED6C6F">
            <w:pPr>
              <w:spacing w:before="120" w:after="120" w:line="235" w:lineRule="auto"/>
              <w:ind w:left="0" w:right="391" w:firstLine="0"/>
              <w:rPr>
                <w:bCs/>
                <w:sz w:val="20"/>
                <w:szCs w:val="20"/>
                <w:lang w:val="en-GB"/>
              </w:rPr>
            </w:pPr>
            <w:r w:rsidRPr="0051259A">
              <w:rPr>
                <w:sz w:val="20"/>
                <w:szCs w:val="20"/>
                <w:lang w:val="en-GB"/>
              </w:rPr>
              <w:t>The availability of relevant staff training and professional development for those who support teaching, learning and assessment and provide</w:t>
            </w:r>
            <w:r>
              <w:rPr>
                <w:sz w:val="20"/>
                <w:szCs w:val="20"/>
                <w:lang w:val="en-GB"/>
              </w:rPr>
              <w:t xml:space="preserve"> </w:t>
            </w:r>
            <w:r w:rsidRPr="0051259A">
              <w:rPr>
                <w:sz w:val="20"/>
                <w:szCs w:val="20"/>
                <w:lang w:val="en-GB"/>
              </w:rPr>
              <w:t xml:space="preserve">administrative and support services is crucial for </w:t>
            </w:r>
            <w:r w:rsidR="00D44968">
              <w:rPr>
                <w:sz w:val="20"/>
                <w:szCs w:val="20"/>
                <w:lang w:val="en-GB"/>
              </w:rPr>
              <w:t xml:space="preserve">programmes </w:t>
            </w:r>
            <w:r w:rsidR="00D466FC">
              <w:rPr>
                <w:sz w:val="20"/>
                <w:szCs w:val="20"/>
                <w:lang w:val="en-GB"/>
              </w:rPr>
              <w:t xml:space="preserve">provided </w:t>
            </w:r>
            <w:r w:rsidR="00D44968">
              <w:rPr>
                <w:sz w:val="20"/>
                <w:szCs w:val="20"/>
                <w:lang w:val="en-GB"/>
              </w:rPr>
              <w:t>within the desired scope of provision set out above.</w:t>
            </w:r>
          </w:p>
        </w:tc>
      </w:tr>
      <w:tr w:rsidR="00ED6C6F" w:rsidRPr="004467CA" w14:paraId="5A20902F" w14:textId="77777777" w:rsidTr="00184926">
        <w:tc>
          <w:tcPr>
            <w:tcW w:w="2208" w:type="dxa"/>
          </w:tcPr>
          <w:p w14:paraId="002A762D"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Provider’s Evidence</w:t>
            </w:r>
          </w:p>
        </w:tc>
        <w:tc>
          <w:tcPr>
            <w:tcW w:w="11821" w:type="dxa"/>
            <w:gridSpan w:val="3"/>
          </w:tcPr>
          <w:p w14:paraId="78045AE9" w14:textId="77777777" w:rsidR="00ED6C6F" w:rsidRPr="00205765" w:rsidRDefault="00ED6C6F" w:rsidP="00ED6C6F">
            <w:pPr>
              <w:spacing w:before="120" w:after="120" w:line="235" w:lineRule="auto"/>
              <w:ind w:left="0" w:right="391" w:firstLine="0"/>
              <w:rPr>
                <w:bCs/>
                <w:sz w:val="20"/>
                <w:szCs w:val="20"/>
                <w:lang w:val="en-GB"/>
              </w:rPr>
            </w:pPr>
          </w:p>
        </w:tc>
      </w:tr>
      <w:tr w:rsidR="00ED6C6F" w:rsidRPr="004467CA" w14:paraId="25CEE7E7" w14:textId="77777777" w:rsidTr="00184926">
        <w:tc>
          <w:tcPr>
            <w:tcW w:w="14029" w:type="dxa"/>
            <w:gridSpan w:val="4"/>
            <w:shd w:val="clear" w:color="auto" w:fill="BDD6EE" w:themeFill="accent5" w:themeFillTint="66"/>
          </w:tcPr>
          <w:p w14:paraId="2E4846BF" w14:textId="77777777" w:rsidR="00ED6C6F" w:rsidRPr="00205765" w:rsidRDefault="00ED6C6F" w:rsidP="00ED6C6F">
            <w:pPr>
              <w:spacing w:before="120" w:after="120" w:line="235" w:lineRule="auto"/>
              <w:ind w:left="0" w:right="391" w:firstLine="22"/>
              <w:rPr>
                <w:bCs/>
                <w:sz w:val="20"/>
                <w:szCs w:val="20"/>
                <w:lang w:val="en-GB"/>
              </w:rPr>
            </w:pPr>
            <w:r w:rsidRPr="00205765">
              <w:rPr>
                <w:b/>
                <w:bCs/>
                <w:sz w:val="20"/>
                <w:szCs w:val="20"/>
                <w:lang w:val="en-GB"/>
              </w:rPr>
              <w:t>5. Strategic Collaborations and Partnerships</w:t>
            </w:r>
          </w:p>
        </w:tc>
      </w:tr>
      <w:tr w:rsidR="00ED6C6F" w:rsidRPr="004467CA" w14:paraId="2259E18F" w14:textId="77777777" w:rsidTr="00184926">
        <w:tc>
          <w:tcPr>
            <w:tcW w:w="2208" w:type="dxa"/>
          </w:tcPr>
          <w:p w14:paraId="0DA34C95"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Good Practice Statement</w:t>
            </w:r>
          </w:p>
        </w:tc>
        <w:tc>
          <w:tcPr>
            <w:tcW w:w="11821" w:type="dxa"/>
            <w:gridSpan w:val="3"/>
          </w:tcPr>
          <w:p w14:paraId="4CBDA46E" w14:textId="3CF97F52" w:rsidR="00ED6C6F" w:rsidRPr="00205765" w:rsidRDefault="00ED6C6F" w:rsidP="00ED6C6F">
            <w:pPr>
              <w:spacing w:before="120" w:after="120" w:line="235" w:lineRule="auto"/>
              <w:ind w:left="0" w:right="391" w:firstLine="0"/>
              <w:rPr>
                <w:bCs/>
                <w:sz w:val="20"/>
                <w:szCs w:val="20"/>
                <w:lang w:val="en-GB"/>
              </w:rPr>
            </w:pPr>
            <w:r w:rsidRPr="0051259A">
              <w:rPr>
                <w:sz w:val="20"/>
                <w:szCs w:val="20"/>
                <w:lang w:val="en-GB"/>
              </w:rPr>
              <w:t xml:space="preserve">Strategic collaborations and partnerships that advance the institution’s strategy for </w:t>
            </w:r>
            <w:r w:rsidR="00D44968">
              <w:rPr>
                <w:sz w:val="20"/>
                <w:szCs w:val="20"/>
                <w:lang w:val="en-GB"/>
              </w:rPr>
              <w:t>programmes within the desired scope of provision set out above</w:t>
            </w:r>
            <w:r w:rsidRPr="0051259A">
              <w:rPr>
                <w:sz w:val="20"/>
                <w:szCs w:val="20"/>
                <w:lang w:val="en-GB"/>
              </w:rPr>
              <w:t xml:space="preserve"> are quality assured in a manner consistent with QQI’s Core Statutory QA Guidelines.</w:t>
            </w:r>
          </w:p>
        </w:tc>
      </w:tr>
      <w:tr w:rsidR="00ED6C6F" w:rsidRPr="004467CA" w14:paraId="25C37E60" w14:textId="77777777" w:rsidTr="00184926">
        <w:tc>
          <w:tcPr>
            <w:tcW w:w="2208" w:type="dxa"/>
          </w:tcPr>
          <w:p w14:paraId="6D2EFD5E"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Provider’s Evidence</w:t>
            </w:r>
          </w:p>
        </w:tc>
        <w:tc>
          <w:tcPr>
            <w:tcW w:w="11821" w:type="dxa"/>
            <w:gridSpan w:val="3"/>
          </w:tcPr>
          <w:p w14:paraId="3EBAF7DC" w14:textId="77777777" w:rsidR="00ED6C6F" w:rsidRPr="00205765" w:rsidRDefault="00ED6C6F" w:rsidP="00ED6C6F">
            <w:pPr>
              <w:spacing w:before="120" w:after="120" w:line="235" w:lineRule="auto"/>
              <w:ind w:left="0" w:right="391" w:firstLine="0"/>
              <w:rPr>
                <w:bCs/>
                <w:sz w:val="20"/>
                <w:szCs w:val="20"/>
                <w:lang w:val="en-GB"/>
              </w:rPr>
            </w:pPr>
          </w:p>
        </w:tc>
      </w:tr>
      <w:tr w:rsidR="00ED6C6F" w:rsidRPr="004467CA" w14:paraId="7AF79DF8" w14:textId="77777777" w:rsidTr="00184926">
        <w:tc>
          <w:tcPr>
            <w:tcW w:w="14029" w:type="dxa"/>
            <w:gridSpan w:val="4"/>
            <w:shd w:val="clear" w:color="auto" w:fill="BDD6EE" w:themeFill="accent5" w:themeFillTint="66"/>
          </w:tcPr>
          <w:p w14:paraId="57D3FF57" w14:textId="77777777" w:rsidR="00ED6C6F" w:rsidRPr="00205765" w:rsidRDefault="00ED6C6F" w:rsidP="00ED6C6F">
            <w:pPr>
              <w:spacing w:before="120" w:after="120" w:line="235" w:lineRule="auto"/>
              <w:ind w:left="0" w:right="391" w:firstLine="0"/>
              <w:rPr>
                <w:bCs/>
                <w:sz w:val="20"/>
                <w:szCs w:val="20"/>
                <w:lang w:val="en-GB"/>
              </w:rPr>
            </w:pPr>
            <w:r w:rsidRPr="00205765">
              <w:rPr>
                <w:b/>
                <w:bCs/>
                <w:sz w:val="20"/>
                <w:szCs w:val="20"/>
                <w:lang w:val="en-GB"/>
              </w:rPr>
              <w:t>6. Learners Outside of Ireland</w:t>
            </w:r>
          </w:p>
        </w:tc>
      </w:tr>
      <w:tr w:rsidR="00ED6C6F" w:rsidRPr="004467CA" w14:paraId="519C4B7F" w14:textId="77777777" w:rsidTr="00184926">
        <w:tc>
          <w:tcPr>
            <w:tcW w:w="2208" w:type="dxa"/>
          </w:tcPr>
          <w:p w14:paraId="08742C7B"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Good Practice Statement</w:t>
            </w:r>
          </w:p>
        </w:tc>
        <w:tc>
          <w:tcPr>
            <w:tcW w:w="11821" w:type="dxa"/>
            <w:gridSpan w:val="3"/>
          </w:tcPr>
          <w:p w14:paraId="341E6797" w14:textId="77777777" w:rsidR="00ED6C6F" w:rsidRDefault="00ED6C6F" w:rsidP="00ED6C6F">
            <w:pPr>
              <w:spacing w:before="120" w:after="120" w:line="235" w:lineRule="auto"/>
              <w:ind w:left="0" w:right="391" w:firstLine="0"/>
              <w:rPr>
                <w:sz w:val="20"/>
                <w:szCs w:val="20"/>
                <w:lang w:val="en-GB"/>
              </w:rPr>
            </w:pPr>
            <w:r w:rsidRPr="0051259A">
              <w:rPr>
                <w:sz w:val="20"/>
                <w:szCs w:val="20"/>
                <w:lang w:val="en-GB"/>
              </w:rPr>
              <w:t>Where learners reside outside of Ireland, due diligence and risk management arrangements are robust and fit-for-purpose and where teaching methods, student supports and administrative services need to be adapted to the local context, they follow the principles of equity, fairness, and equivalency to ensure all learners can achieve the programme learning outcomes.</w:t>
            </w:r>
          </w:p>
          <w:p w14:paraId="6BDB280C" w14:textId="4E87A789" w:rsidR="00FC3149" w:rsidRPr="00205765" w:rsidRDefault="00FC3149" w:rsidP="00ED6C6F">
            <w:pPr>
              <w:spacing w:before="120" w:after="120" w:line="235" w:lineRule="auto"/>
              <w:ind w:left="0" w:right="391" w:firstLine="0"/>
              <w:rPr>
                <w:bCs/>
                <w:sz w:val="20"/>
                <w:szCs w:val="20"/>
                <w:lang w:val="en-GB"/>
              </w:rPr>
            </w:pPr>
            <w:r>
              <w:rPr>
                <w:bCs/>
                <w:sz w:val="20"/>
                <w:szCs w:val="20"/>
                <w:lang w:val="en-GB"/>
              </w:rPr>
              <w:t xml:space="preserve">The provider has identified </w:t>
            </w:r>
            <w:r w:rsidR="00492B07">
              <w:rPr>
                <w:bCs/>
                <w:sz w:val="20"/>
                <w:szCs w:val="20"/>
                <w:lang w:val="en-GB"/>
              </w:rPr>
              <w:t>the</w:t>
            </w:r>
            <w:r>
              <w:rPr>
                <w:bCs/>
                <w:sz w:val="20"/>
                <w:szCs w:val="20"/>
                <w:lang w:val="en-GB"/>
              </w:rPr>
              <w:t xml:space="preserve"> countries</w:t>
            </w:r>
            <w:r w:rsidR="002B15CB">
              <w:rPr>
                <w:bCs/>
                <w:sz w:val="20"/>
                <w:szCs w:val="20"/>
                <w:lang w:val="en-GB"/>
              </w:rPr>
              <w:t xml:space="preserve"> </w:t>
            </w:r>
            <w:r w:rsidR="00492B07">
              <w:rPr>
                <w:bCs/>
                <w:sz w:val="20"/>
                <w:szCs w:val="20"/>
                <w:lang w:val="en-GB"/>
              </w:rPr>
              <w:t xml:space="preserve">from which learners can </w:t>
            </w:r>
            <w:r w:rsidR="00B54532">
              <w:rPr>
                <w:bCs/>
                <w:sz w:val="20"/>
                <w:szCs w:val="20"/>
                <w:lang w:val="en-GB"/>
              </w:rPr>
              <w:t xml:space="preserve">expect to be able to fully participate </w:t>
            </w:r>
            <w:r w:rsidR="00492B07">
              <w:rPr>
                <w:bCs/>
                <w:sz w:val="20"/>
                <w:szCs w:val="20"/>
                <w:lang w:val="en-GB"/>
              </w:rPr>
              <w:t xml:space="preserve">on </w:t>
            </w:r>
            <w:r w:rsidR="00082547">
              <w:rPr>
                <w:bCs/>
                <w:sz w:val="20"/>
                <w:szCs w:val="20"/>
                <w:lang w:val="en-GB"/>
              </w:rPr>
              <w:t xml:space="preserve">any </w:t>
            </w:r>
            <w:r w:rsidR="00492B07">
              <w:rPr>
                <w:bCs/>
                <w:sz w:val="20"/>
                <w:szCs w:val="20"/>
                <w:lang w:val="en-GB"/>
              </w:rPr>
              <w:t>fully online programmes</w:t>
            </w:r>
            <w:r w:rsidR="00082547">
              <w:rPr>
                <w:bCs/>
                <w:sz w:val="20"/>
                <w:szCs w:val="20"/>
                <w:lang w:val="en-GB"/>
              </w:rPr>
              <w:t xml:space="preserve"> that provider provides</w:t>
            </w:r>
            <w:r w:rsidR="00492B07">
              <w:rPr>
                <w:bCs/>
                <w:sz w:val="20"/>
                <w:szCs w:val="20"/>
                <w:lang w:val="en-GB"/>
              </w:rPr>
              <w:t>.</w:t>
            </w:r>
          </w:p>
        </w:tc>
      </w:tr>
      <w:tr w:rsidR="00ED6C6F" w:rsidRPr="004467CA" w14:paraId="50764DCF" w14:textId="77777777" w:rsidTr="00184926">
        <w:tc>
          <w:tcPr>
            <w:tcW w:w="2208" w:type="dxa"/>
          </w:tcPr>
          <w:p w14:paraId="740919C8" w14:textId="77777777" w:rsidR="00ED6C6F" w:rsidRPr="00205765" w:rsidRDefault="00ED6C6F" w:rsidP="00ED6C6F">
            <w:pPr>
              <w:spacing w:before="120" w:after="120" w:line="247" w:lineRule="auto"/>
              <w:ind w:left="0" w:right="516" w:firstLine="0"/>
              <w:rPr>
                <w:b/>
                <w:bCs/>
                <w:sz w:val="20"/>
                <w:szCs w:val="20"/>
                <w:lang w:val="en-GB"/>
              </w:rPr>
            </w:pPr>
            <w:r w:rsidRPr="00205765">
              <w:rPr>
                <w:b/>
                <w:bCs/>
                <w:sz w:val="20"/>
                <w:szCs w:val="20"/>
                <w:lang w:val="en-GB"/>
              </w:rPr>
              <w:t>Provider’s Evidence</w:t>
            </w:r>
          </w:p>
        </w:tc>
        <w:tc>
          <w:tcPr>
            <w:tcW w:w="11821" w:type="dxa"/>
            <w:gridSpan w:val="3"/>
          </w:tcPr>
          <w:p w14:paraId="1C2EF4E9" w14:textId="77777777" w:rsidR="00ED6C6F" w:rsidRPr="00205765" w:rsidRDefault="00ED6C6F" w:rsidP="00ED6C6F">
            <w:pPr>
              <w:spacing w:before="120" w:after="120" w:line="235" w:lineRule="auto"/>
              <w:ind w:left="0" w:right="391" w:firstLine="0"/>
              <w:rPr>
                <w:bCs/>
                <w:sz w:val="20"/>
                <w:szCs w:val="20"/>
                <w:lang w:val="en-GB"/>
              </w:rPr>
            </w:pPr>
          </w:p>
        </w:tc>
      </w:tr>
      <w:tr w:rsidR="00ED6C6F" w:rsidRPr="004467CA" w14:paraId="7488E127" w14:textId="77777777" w:rsidTr="00184926">
        <w:trPr>
          <w:trHeight w:val="368"/>
        </w:trPr>
        <w:tc>
          <w:tcPr>
            <w:tcW w:w="14029" w:type="dxa"/>
            <w:gridSpan w:val="4"/>
            <w:shd w:val="clear" w:color="auto" w:fill="BDD6EE" w:themeFill="accent5" w:themeFillTint="66"/>
          </w:tcPr>
          <w:p w14:paraId="6593DCC2" w14:textId="7680C7F0" w:rsidR="00ED6C6F" w:rsidRPr="007E0E1C" w:rsidRDefault="00ED6C6F" w:rsidP="00ED6C6F">
            <w:pPr>
              <w:spacing w:before="120" w:after="120" w:line="240" w:lineRule="auto"/>
              <w:ind w:left="0" w:right="6" w:hanging="318"/>
              <w:jc w:val="center"/>
              <w:rPr>
                <w:b/>
                <w:bCs/>
                <w:lang w:val="en-GB"/>
              </w:rPr>
            </w:pPr>
            <w:r w:rsidRPr="007E0E1C">
              <w:rPr>
                <w:b/>
                <w:bCs/>
                <w:lang w:val="en-GB"/>
              </w:rPr>
              <w:t>OVERALL SELF-ASSESSMENT FOR ORGANISATIONAL CONTEXT</w:t>
            </w:r>
            <w:r w:rsidR="00BD3FAB">
              <w:rPr>
                <w:b/>
                <w:bCs/>
                <w:lang w:val="en-GB"/>
              </w:rPr>
              <w:t xml:space="preserve"> </w:t>
            </w:r>
            <w:r w:rsidR="00BD3FAB" w:rsidRPr="00BD3FAB">
              <w:rPr>
                <w:sz w:val="20"/>
                <w:szCs w:val="20"/>
                <w:lang w:val="en-GB"/>
              </w:rPr>
              <w:t xml:space="preserve">(enter </w:t>
            </w:r>
            <w:r w:rsidR="00BD3FAB" w:rsidRPr="00BD3FAB">
              <w:rPr>
                <w:b/>
                <w:bCs/>
                <w:color w:val="FF0000"/>
                <w:sz w:val="24"/>
                <w:szCs w:val="24"/>
                <w:lang w:val="en-GB"/>
              </w:rPr>
              <w:sym w:font="Wingdings" w:char="F0FC"/>
            </w:r>
            <w:r w:rsidR="00BD3FAB" w:rsidRPr="00BD3FAB">
              <w:rPr>
                <w:sz w:val="20"/>
                <w:szCs w:val="20"/>
                <w:lang w:val="en-GB"/>
              </w:rPr>
              <w:t xml:space="preserve"> against relevant description)</w:t>
            </w:r>
          </w:p>
        </w:tc>
      </w:tr>
      <w:tr w:rsidR="00ED6C6F" w:rsidRPr="004467CA" w14:paraId="2BD8C55F" w14:textId="77777777" w:rsidTr="00184926">
        <w:trPr>
          <w:trHeight w:val="368"/>
        </w:trPr>
        <w:tc>
          <w:tcPr>
            <w:tcW w:w="4395" w:type="dxa"/>
            <w:gridSpan w:val="2"/>
            <w:shd w:val="clear" w:color="auto" w:fill="auto"/>
          </w:tcPr>
          <w:p w14:paraId="42329DD6" w14:textId="77777777" w:rsidR="00ED6C6F" w:rsidRPr="007C1D66" w:rsidRDefault="00ED6C6F" w:rsidP="00ED6C6F">
            <w:pPr>
              <w:spacing w:before="120" w:after="120" w:line="240" w:lineRule="auto"/>
              <w:ind w:left="0" w:right="6" w:hanging="318"/>
              <w:jc w:val="center"/>
              <w:rPr>
                <w:b/>
                <w:bCs/>
                <w:sz w:val="21"/>
                <w:szCs w:val="21"/>
                <w:lang w:val="en-GB"/>
              </w:rPr>
            </w:pPr>
            <w:r w:rsidRPr="007C1D66">
              <w:rPr>
                <w:b/>
                <w:bCs/>
                <w:sz w:val="21"/>
                <w:szCs w:val="21"/>
                <w:lang w:val="en-GB"/>
              </w:rPr>
              <w:t>Emerging</w:t>
            </w:r>
          </w:p>
        </w:tc>
        <w:tc>
          <w:tcPr>
            <w:tcW w:w="5103" w:type="dxa"/>
            <w:shd w:val="clear" w:color="auto" w:fill="auto"/>
          </w:tcPr>
          <w:p w14:paraId="2ADE0092" w14:textId="77777777" w:rsidR="00ED6C6F" w:rsidRPr="007C1D66" w:rsidRDefault="00ED6C6F" w:rsidP="00ED6C6F">
            <w:pPr>
              <w:spacing w:before="120" w:after="120" w:line="240" w:lineRule="auto"/>
              <w:ind w:left="0" w:right="6" w:hanging="318"/>
              <w:jc w:val="center"/>
              <w:rPr>
                <w:b/>
                <w:bCs/>
                <w:sz w:val="21"/>
                <w:szCs w:val="21"/>
                <w:lang w:val="en-GB"/>
              </w:rPr>
            </w:pPr>
            <w:r>
              <w:rPr>
                <w:b/>
                <w:bCs/>
                <w:sz w:val="21"/>
                <w:szCs w:val="21"/>
                <w:lang w:val="en-GB"/>
              </w:rPr>
              <w:t xml:space="preserve"> </w:t>
            </w:r>
            <w:r w:rsidRPr="007C1D66">
              <w:rPr>
                <w:b/>
                <w:bCs/>
                <w:sz w:val="21"/>
                <w:szCs w:val="21"/>
                <w:lang w:val="en-GB"/>
              </w:rPr>
              <w:t>Developing</w:t>
            </w:r>
          </w:p>
        </w:tc>
        <w:tc>
          <w:tcPr>
            <w:tcW w:w="4531" w:type="dxa"/>
            <w:shd w:val="clear" w:color="auto" w:fill="auto"/>
          </w:tcPr>
          <w:p w14:paraId="21C8B51C" w14:textId="77777777" w:rsidR="00ED6C6F" w:rsidRPr="007C1D66" w:rsidRDefault="00ED6C6F" w:rsidP="00ED6C6F">
            <w:pPr>
              <w:spacing w:before="120" w:after="120" w:line="240" w:lineRule="auto"/>
              <w:ind w:left="0" w:right="6" w:hanging="318"/>
              <w:jc w:val="center"/>
              <w:rPr>
                <w:b/>
                <w:bCs/>
                <w:sz w:val="21"/>
                <w:szCs w:val="21"/>
                <w:lang w:val="en-GB"/>
              </w:rPr>
            </w:pPr>
            <w:r w:rsidRPr="007C1D66">
              <w:rPr>
                <w:b/>
                <w:bCs/>
                <w:sz w:val="21"/>
                <w:szCs w:val="21"/>
                <w:lang w:val="en-GB"/>
              </w:rPr>
              <w:t>Mature</w:t>
            </w:r>
          </w:p>
        </w:tc>
      </w:tr>
      <w:tr w:rsidR="001A140D" w:rsidRPr="004467CA" w14:paraId="7589761E" w14:textId="77777777" w:rsidTr="00CF0C3F">
        <w:tc>
          <w:tcPr>
            <w:tcW w:w="14029" w:type="dxa"/>
            <w:gridSpan w:val="4"/>
            <w:tcBorders>
              <w:top w:val="single" w:sz="4" w:space="0" w:color="auto"/>
              <w:bottom w:val="single" w:sz="4" w:space="0" w:color="auto"/>
            </w:tcBorders>
            <w:shd w:val="clear" w:color="auto" w:fill="auto"/>
          </w:tcPr>
          <w:p w14:paraId="69BC8BC5" w14:textId="0DD4C8EB" w:rsidR="001A140D" w:rsidRPr="002B6EA0" w:rsidRDefault="002B6EA0" w:rsidP="002B6EA0">
            <w:pPr>
              <w:spacing w:after="0" w:line="240" w:lineRule="auto"/>
              <w:ind w:left="0" w:right="0" w:firstLine="22"/>
              <w:rPr>
                <w:noProof/>
                <w:sz w:val="21"/>
                <w:szCs w:val="21"/>
                <w:lang w:val="en-GB"/>
              </w:rPr>
            </w:pPr>
            <w:r w:rsidRPr="002B6EA0">
              <w:rPr>
                <w:b/>
                <w:bCs/>
                <w:noProof/>
                <w:sz w:val="21"/>
                <w:szCs w:val="21"/>
                <w:lang w:val="en-GB"/>
              </w:rPr>
              <w:t xml:space="preserve">Gaps to be filled:  </w:t>
            </w:r>
          </w:p>
          <w:p w14:paraId="2341E9B9" w14:textId="77777777" w:rsidR="00986321" w:rsidRDefault="00986321" w:rsidP="00986321">
            <w:pPr>
              <w:spacing w:after="0" w:line="240" w:lineRule="auto"/>
              <w:ind w:left="0" w:right="0" w:firstLine="0"/>
              <w:rPr>
                <w:noProof/>
                <w:sz w:val="21"/>
                <w:szCs w:val="21"/>
                <w:lang w:val="en-GB"/>
              </w:rPr>
            </w:pPr>
          </w:p>
          <w:p w14:paraId="609166CD" w14:textId="77777777" w:rsidR="00BD3FAB" w:rsidRDefault="00BD3FAB" w:rsidP="00986321">
            <w:pPr>
              <w:spacing w:after="0" w:line="240" w:lineRule="auto"/>
              <w:ind w:left="0" w:right="0" w:firstLine="0"/>
              <w:rPr>
                <w:noProof/>
                <w:sz w:val="21"/>
                <w:szCs w:val="21"/>
                <w:lang w:val="en-GB"/>
              </w:rPr>
            </w:pPr>
          </w:p>
          <w:p w14:paraId="03F8A974" w14:textId="77777777" w:rsidR="00BD3FAB" w:rsidRDefault="00BD3FAB" w:rsidP="00986321">
            <w:pPr>
              <w:spacing w:after="0" w:line="240" w:lineRule="auto"/>
              <w:ind w:left="0" w:right="0" w:firstLine="0"/>
              <w:rPr>
                <w:noProof/>
                <w:sz w:val="21"/>
                <w:szCs w:val="21"/>
                <w:lang w:val="en-GB"/>
              </w:rPr>
            </w:pPr>
          </w:p>
        </w:tc>
      </w:tr>
    </w:tbl>
    <w:p w14:paraId="76DBEDC8" w14:textId="77777777" w:rsidR="00ED6C6F" w:rsidRDefault="00ED6C6F" w:rsidP="00ED6C6F">
      <w:pPr>
        <w:spacing w:after="0" w:line="259" w:lineRule="auto"/>
        <w:ind w:left="0" w:right="10885" w:firstLine="0"/>
        <w:rPr>
          <w:lang w:val="en-GB"/>
        </w:rPr>
      </w:pPr>
    </w:p>
    <w:p w14:paraId="6E3E0591" w14:textId="77777777" w:rsidR="00ED6C6F" w:rsidRDefault="00ED6C6F" w:rsidP="00ED6C6F">
      <w:pPr>
        <w:spacing w:after="160" w:line="259" w:lineRule="auto"/>
        <w:ind w:left="0" w:right="0" w:firstLine="0"/>
        <w:rPr>
          <w:lang w:val="en-GB"/>
        </w:rPr>
      </w:pPr>
      <w:r>
        <w:rPr>
          <w:lang w:val="en-GB"/>
        </w:rPr>
        <w:br w:type="page"/>
      </w:r>
    </w:p>
    <w:tbl>
      <w:tblPr>
        <w:tblStyle w:val="TableGrid0"/>
        <w:tblW w:w="14176" w:type="dxa"/>
        <w:tblInd w:w="-289" w:type="dxa"/>
        <w:tblLook w:val="04A0" w:firstRow="1" w:lastRow="0" w:firstColumn="1" w:lastColumn="0" w:noHBand="0" w:noVBand="1"/>
      </w:tblPr>
      <w:tblGrid>
        <w:gridCol w:w="2271"/>
        <w:gridCol w:w="11905"/>
      </w:tblGrid>
      <w:tr w:rsidR="00ED6C6F" w:rsidRPr="004467CA" w14:paraId="31CB087C" w14:textId="77777777" w:rsidTr="00184926">
        <w:trPr>
          <w:trHeight w:val="593"/>
        </w:trPr>
        <w:tc>
          <w:tcPr>
            <w:tcW w:w="14176" w:type="dxa"/>
            <w:gridSpan w:val="2"/>
            <w:shd w:val="clear" w:color="auto" w:fill="BDD6EE" w:themeFill="accent5" w:themeFillTint="66"/>
          </w:tcPr>
          <w:p w14:paraId="5C688BE0" w14:textId="77777777" w:rsidR="00ED6C6F" w:rsidRPr="007E0E1C" w:rsidRDefault="00ED6C6F" w:rsidP="00ED6C6F">
            <w:pPr>
              <w:spacing w:before="120" w:after="120" w:line="247" w:lineRule="auto"/>
              <w:ind w:left="0" w:right="516" w:firstLine="0"/>
              <w:jc w:val="center"/>
              <w:rPr>
                <w:b/>
                <w:bCs/>
                <w:lang w:val="en-GB"/>
              </w:rPr>
            </w:pPr>
            <w:r w:rsidRPr="007E0E1C">
              <w:rPr>
                <w:b/>
                <w:bCs/>
                <w:lang w:val="en-GB"/>
              </w:rPr>
              <w:lastRenderedPageBreak/>
              <w:t>PROGRAMME CONTEXT</w:t>
            </w:r>
          </w:p>
        </w:tc>
      </w:tr>
      <w:tr w:rsidR="00ED6C6F" w:rsidRPr="004467CA" w14:paraId="29E25898" w14:textId="77777777" w:rsidTr="00184926">
        <w:tc>
          <w:tcPr>
            <w:tcW w:w="2271" w:type="dxa"/>
            <w:tcBorders>
              <w:bottom w:val="single" w:sz="4" w:space="0" w:color="auto"/>
            </w:tcBorders>
          </w:tcPr>
          <w:p w14:paraId="55115D67" w14:textId="77777777" w:rsidR="00ED6C6F" w:rsidRPr="007C1D66" w:rsidRDefault="00ED6C6F" w:rsidP="00ED6C6F">
            <w:pPr>
              <w:tabs>
                <w:tab w:val="center" w:pos="2916"/>
              </w:tabs>
              <w:spacing w:before="120" w:after="120" w:line="240" w:lineRule="auto"/>
              <w:ind w:left="0" w:right="0" w:firstLine="0"/>
              <w:rPr>
                <w:b/>
                <w:bCs/>
                <w:sz w:val="21"/>
                <w:szCs w:val="21"/>
                <w:lang w:val="en-GB"/>
              </w:rPr>
            </w:pPr>
            <w:r w:rsidRPr="007C1D66">
              <w:rPr>
                <w:b/>
                <w:bCs/>
                <w:sz w:val="21"/>
                <w:szCs w:val="21"/>
                <w:lang w:val="en-GB"/>
              </w:rPr>
              <w:t>Scoping Statement</w:t>
            </w:r>
          </w:p>
        </w:tc>
        <w:tc>
          <w:tcPr>
            <w:tcW w:w="11905" w:type="dxa"/>
          </w:tcPr>
          <w:p w14:paraId="163928E3" w14:textId="3A7391CE" w:rsidR="00ED6C6F" w:rsidRPr="00135FEB" w:rsidRDefault="00ED6C6F" w:rsidP="00A51C53">
            <w:pPr>
              <w:spacing w:before="60" w:after="60" w:line="247" w:lineRule="auto"/>
              <w:ind w:left="0" w:right="85" w:hanging="11"/>
              <w:rPr>
                <w:sz w:val="21"/>
                <w:szCs w:val="21"/>
                <w:lang w:val="en-GB"/>
              </w:rPr>
            </w:pPr>
            <w:r w:rsidRPr="001A3B9C">
              <w:rPr>
                <w:sz w:val="21"/>
                <w:szCs w:val="21"/>
                <w:lang w:val="en-GB"/>
              </w:rPr>
              <w:t xml:space="preserve">The Programme Context focuses on the programme as a whole and the approval and validation processes. Whether the level, duration, and volume of credit are appropriate, the degree to which learning outcomes are responsive to changing work, industry or community needs and the study mode is fit-for-purpose. It establishes whether appropriate procedures are in place to follow the principles of good practice for </w:t>
            </w:r>
            <w:r w:rsidR="00D44968">
              <w:rPr>
                <w:sz w:val="21"/>
                <w:szCs w:val="21"/>
                <w:lang w:val="en-GB"/>
              </w:rPr>
              <w:t>programmes within the desired scope of provision set out above.</w:t>
            </w:r>
            <w:r w:rsidRPr="001A3B9C">
              <w:rPr>
                <w:sz w:val="21"/>
                <w:szCs w:val="21"/>
                <w:lang w:val="en-GB"/>
              </w:rPr>
              <w:t xml:space="preserve"> with overall coherence and constructive alignment between the learning outcomes and the curriculum design, including the teaching methods, learner interactivity, learning materials and resources, assessment and feedback practices, and evaluation strategies.</w:t>
            </w:r>
          </w:p>
        </w:tc>
      </w:tr>
      <w:tr w:rsidR="00ED6C6F" w:rsidRPr="00184926" w14:paraId="63FAC41F" w14:textId="77777777" w:rsidTr="00184926">
        <w:tc>
          <w:tcPr>
            <w:tcW w:w="14176" w:type="dxa"/>
            <w:gridSpan w:val="2"/>
            <w:tcBorders>
              <w:top w:val="single" w:sz="4" w:space="0" w:color="auto"/>
            </w:tcBorders>
            <w:shd w:val="clear" w:color="auto" w:fill="BDD6EE" w:themeFill="accent5" w:themeFillTint="66"/>
          </w:tcPr>
          <w:p w14:paraId="6B6D87AC" w14:textId="77777777" w:rsidR="00ED6C6F" w:rsidRPr="00184926" w:rsidRDefault="00ED6C6F" w:rsidP="00A51C53">
            <w:pPr>
              <w:spacing w:before="120" w:after="120" w:line="235" w:lineRule="auto"/>
              <w:ind w:left="0" w:right="391" w:hanging="11"/>
              <w:rPr>
                <w:b/>
                <w:sz w:val="20"/>
                <w:szCs w:val="20"/>
                <w:lang w:val="en-GB"/>
              </w:rPr>
            </w:pPr>
            <w:r w:rsidRPr="00184926">
              <w:rPr>
                <w:b/>
                <w:sz w:val="20"/>
                <w:szCs w:val="20"/>
                <w:lang w:val="en-GB"/>
              </w:rPr>
              <w:t>7. Programme Outcomes</w:t>
            </w:r>
          </w:p>
        </w:tc>
      </w:tr>
      <w:tr w:rsidR="00ED6C6F" w:rsidRPr="004467CA" w14:paraId="598CF31E" w14:textId="77777777" w:rsidTr="00184926">
        <w:tc>
          <w:tcPr>
            <w:tcW w:w="2271" w:type="dxa"/>
          </w:tcPr>
          <w:p w14:paraId="2642D62B" w14:textId="77777777" w:rsidR="00ED6C6F" w:rsidRPr="007E0E1C" w:rsidRDefault="00ED6C6F" w:rsidP="00ED6C6F">
            <w:pPr>
              <w:spacing w:before="120" w:after="120" w:line="247" w:lineRule="auto"/>
              <w:ind w:left="0" w:right="176" w:firstLine="0"/>
              <w:rPr>
                <w:sz w:val="20"/>
                <w:szCs w:val="20"/>
                <w:lang w:val="en-GB"/>
              </w:rPr>
            </w:pPr>
            <w:r w:rsidRPr="007E0E1C">
              <w:rPr>
                <w:b/>
                <w:bCs/>
                <w:sz w:val="20"/>
                <w:szCs w:val="20"/>
                <w:lang w:val="en-GB"/>
              </w:rPr>
              <w:t>Good Practice Statement</w:t>
            </w:r>
          </w:p>
        </w:tc>
        <w:tc>
          <w:tcPr>
            <w:tcW w:w="11905" w:type="dxa"/>
            <w:shd w:val="clear" w:color="auto" w:fill="auto"/>
          </w:tcPr>
          <w:p w14:paraId="6D1F0197" w14:textId="36806572" w:rsidR="00ED6C6F" w:rsidRPr="007E0E1C" w:rsidRDefault="00ED6C6F" w:rsidP="00A51C53">
            <w:pPr>
              <w:spacing w:before="120" w:after="120" w:line="247" w:lineRule="auto"/>
              <w:ind w:left="0" w:right="312" w:hanging="11"/>
              <w:rPr>
                <w:rFonts w:asciiTheme="minorHAnsi" w:hAnsiTheme="minorHAnsi" w:cstheme="minorHAnsi"/>
                <w:sz w:val="20"/>
                <w:szCs w:val="20"/>
                <w:lang w:val="en-GB"/>
              </w:rPr>
            </w:pPr>
            <w:r w:rsidRPr="001A3B9C">
              <w:rPr>
                <w:sz w:val="20"/>
                <w:szCs w:val="20"/>
                <w:lang w:val="en-GB"/>
              </w:rPr>
              <w:t xml:space="preserve">The programme is appropriate to the NFQ award type, level, duration, and credit, is responsive to changing work, industry or community needs, and the study mode and sequencing is fit-for-purpose so learners can clearly achieve the intended learning outcomes through </w:t>
            </w:r>
            <w:r w:rsidR="00DB5592">
              <w:rPr>
                <w:sz w:val="20"/>
                <w:szCs w:val="20"/>
                <w:lang w:val="en-GB"/>
              </w:rPr>
              <w:t xml:space="preserve">programmes </w:t>
            </w:r>
            <w:r w:rsidR="00D466FC">
              <w:rPr>
                <w:sz w:val="20"/>
                <w:szCs w:val="20"/>
                <w:lang w:val="en-GB"/>
              </w:rPr>
              <w:t xml:space="preserve">provided </w:t>
            </w:r>
            <w:r w:rsidR="00DB5592">
              <w:rPr>
                <w:sz w:val="20"/>
                <w:szCs w:val="20"/>
                <w:lang w:val="en-GB"/>
              </w:rPr>
              <w:t>within the desired scope of provision set out above</w:t>
            </w:r>
            <w:r w:rsidRPr="001A3B9C">
              <w:rPr>
                <w:sz w:val="20"/>
                <w:szCs w:val="20"/>
                <w:lang w:val="en-GB"/>
              </w:rPr>
              <w:t>.</w:t>
            </w:r>
          </w:p>
        </w:tc>
      </w:tr>
      <w:tr w:rsidR="00ED6C6F" w:rsidRPr="004467CA" w14:paraId="6387962E" w14:textId="77777777" w:rsidTr="00184926">
        <w:tc>
          <w:tcPr>
            <w:tcW w:w="2271" w:type="dxa"/>
          </w:tcPr>
          <w:p w14:paraId="0F57AA15" w14:textId="77777777" w:rsidR="00ED6C6F" w:rsidRPr="007E0E1C" w:rsidRDefault="00ED6C6F" w:rsidP="00ED6C6F">
            <w:pPr>
              <w:spacing w:before="120" w:after="120" w:line="247" w:lineRule="auto"/>
              <w:ind w:left="0" w:right="516" w:firstLine="0"/>
              <w:rPr>
                <w:sz w:val="20"/>
                <w:szCs w:val="20"/>
                <w:lang w:val="en-GB"/>
              </w:rPr>
            </w:pPr>
            <w:r w:rsidRPr="007E0E1C">
              <w:rPr>
                <w:b/>
                <w:bCs/>
                <w:sz w:val="20"/>
                <w:szCs w:val="20"/>
                <w:lang w:val="en-GB"/>
              </w:rPr>
              <w:t>Provider’s Evidence</w:t>
            </w:r>
          </w:p>
        </w:tc>
        <w:tc>
          <w:tcPr>
            <w:tcW w:w="11905" w:type="dxa"/>
          </w:tcPr>
          <w:p w14:paraId="3124957C" w14:textId="77777777" w:rsidR="00ED6C6F" w:rsidRPr="007E0E1C" w:rsidRDefault="00ED6C6F" w:rsidP="00A51C53">
            <w:pPr>
              <w:spacing w:before="120" w:after="120" w:line="235" w:lineRule="auto"/>
              <w:ind w:left="0" w:right="391" w:hanging="11"/>
              <w:rPr>
                <w:bCs/>
                <w:sz w:val="20"/>
                <w:szCs w:val="20"/>
                <w:lang w:val="en-GB"/>
              </w:rPr>
            </w:pPr>
          </w:p>
        </w:tc>
      </w:tr>
      <w:tr w:rsidR="00ED6C6F" w:rsidRPr="004467CA" w14:paraId="08F6DBEC" w14:textId="77777777" w:rsidTr="00184926">
        <w:tc>
          <w:tcPr>
            <w:tcW w:w="14176" w:type="dxa"/>
            <w:gridSpan w:val="2"/>
            <w:shd w:val="clear" w:color="auto" w:fill="BDD6EE" w:themeFill="accent5" w:themeFillTint="66"/>
          </w:tcPr>
          <w:p w14:paraId="63993E45" w14:textId="77777777" w:rsidR="00ED6C6F" w:rsidRPr="007E0E1C" w:rsidRDefault="00ED6C6F" w:rsidP="00A51C53">
            <w:pPr>
              <w:spacing w:before="120" w:after="120" w:line="235" w:lineRule="auto"/>
              <w:ind w:left="0" w:right="391" w:hanging="11"/>
              <w:rPr>
                <w:b/>
                <w:sz w:val="20"/>
                <w:szCs w:val="20"/>
                <w:lang w:val="en-GB"/>
              </w:rPr>
            </w:pPr>
            <w:r w:rsidRPr="007E0E1C">
              <w:rPr>
                <w:b/>
                <w:sz w:val="20"/>
                <w:szCs w:val="20"/>
                <w:lang w:val="en-GB"/>
              </w:rPr>
              <w:t xml:space="preserve">8. </w:t>
            </w:r>
            <w:r w:rsidRPr="007E0E1C">
              <w:rPr>
                <w:b/>
                <w:bCs/>
                <w:sz w:val="20"/>
                <w:szCs w:val="20"/>
                <w:lang w:val="en-GB"/>
              </w:rPr>
              <w:t>Approval and Validation Processes</w:t>
            </w:r>
          </w:p>
        </w:tc>
      </w:tr>
      <w:tr w:rsidR="00ED6C6F" w:rsidRPr="004467CA" w14:paraId="405ED24D" w14:textId="77777777" w:rsidTr="00184926">
        <w:tc>
          <w:tcPr>
            <w:tcW w:w="2271" w:type="dxa"/>
          </w:tcPr>
          <w:p w14:paraId="015FB412"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Good Practice Statement</w:t>
            </w:r>
          </w:p>
        </w:tc>
        <w:tc>
          <w:tcPr>
            <w:tcW w:w="11905" w:type="dxa"/>
          </w:tcPr>
          <w:p w14:paraId="0E8B684A" w14:textId="77777777" w:rsidR="00ED6C6F" w:rsidRDefault="00D44968" w:rsidP="00A51C53">
            <w:pPr>
              <w:spacing w:before="120" w:after="120" w:line="235" w:lineRule="auto"/>
              <w:ind w:left="0" w:right="116" w:hanging="11"/>
              <w:rPr>
                <w:bCs/>
                <w:sz w:val="20"/>
                <w:szCs w:val="20"/>
                <w:lang w:val="en-GB"/>
              </w:rPr>
            </w:pPr>
            <w:r>
              <w:rPr>
                <w:bCs/>
                <w:sz w:val="20"/>
                <w:szCs w:val="20"/>
                <w:lang w:val="en-GB"/>
              </w:rPr>
              <w:t>Programmes within the desired scope of provision set out above</w:t>
            </w:r>
            <w:r w:rsidR="00ED6C6F" w:rsidRPr="001A3B9C">
              <w:rPr>
                <w:bCs/>
                <w:sz w:val="20"/>
                <w:szCs w:val="20"/>
                <w:lang w:val="en-GB"/>
              </w:rPr>
              <w:t xml:space="preserve"> presented for approval and validation processes meet general criteria and also demonstrate that issues specific to the mode have been considered and addressed.</w:t>
            </w:r>
          </w:p>
          <w:p w14:paraId="4F8BC704" w14:textId="67A58D6B" w:rsidR="00FC54A2" w:rsidRPr="007E0E1C" w:rsidRDefault="00FC54A2" w:rsidP="00A51C53">
            <w:pPr>
              <w:spacing w:before="120" w:after="120" w:line="235" w:lineRule="auto"/>
              <w:ind w:left="0" w:right="116" w:hanging="11"/>
              <w:rPr>
                <w:bCs/>
                <w:sz w:val="20"/>
                <w:szCs w:val="20"/>
                <w:lang w:val="en-GB"/>
              </w:rPr>
            </w:pPr>
            <w:r>
              <w:rPr>
                <w:bCs/>
                <w:sz w:val="20"/>
                <w:szCs w:val="20"/>
                <w:lang w:val="en-GB"/>
              </w:rPr>
              <w:t xml:space="preserve">The provider has its own criteria to identify which new programmes are appropriate </w:t>
            </w:r>
            <w:r w:rsidR="00036591">
              <w:rPr>
                <w:bCs/>
                <w:sz w:val="20"/>
                <w:szCs w:val="20"/>
                <w:lang w:val="en-GB"/>
              </w:rPr>
              <w:t xml:space="preserve">to be provided </w:t>
            </w:r>
            <w:r w:rsidR="00036591">
              <w:rPr>
                <w:sz w:val="20"/>
                <w:szCs w:val="20"/>
                <w:lang w:val="en-GB"/>
              </w:rPr>
              <w:t>within the desired scope of provision set out above</w:t>
            </w:r>
            <w:r w:rsidR="00036591" w:rsidRPr="001A3B9C">
              <w:rPr>
                <w:sz w:val="20"/>
                <w:szCs w:val="20"/>
                <w:lang w:val="en-GB"/>
              </w:rPr>
              <w:t>.</w:t>
            </w:r>
          </w:p>
        </w:tc>
      </w:tr>
      <w:tr w:rsidR="00ED6C6F" w:rsidRPr="004467CA" w14:paraId="512F7A79" w14:textId="77777777" w:rsidTr="00184926">
        <w:tc>
          <w:tcPr>
            <w:tcW w:w="2271" w:type="dxa"/>
          </w:tcPr>
          <w:p w14:paraId="10B69DDB"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Provider’s Evidence</w:t>
            </w:r>
          </w:p>
        </w:tc>
        <w:tc>
          <w:tcPr>
            <w:tcW w:w="11905" w:type="dxa"/>
          </w:tcPr>
          <w:p w14:paraId="48D291C8" w14:textId="77777777" w:rsidR="00ED6C6F" w:rsidRPr="007E0E1C" w:rsidRDefault="00ED6C6F" w:rsidP="00A51C53">
            <w:pPr>
              <w:spacing w:before="120" w:after="120" w:line="235" w:lineRule="auto"/>
              <w:ind w:left="0" w:right="391" w:hanging="11"/>
              <w:rPr>
                <w:bCs/>
                <w:sz w:val="20"/>
                <w:szCs w:val="20"/>
                <w:lang w:val="en-GB"/>
              </w:rPr>
            </w:pPr>
          </w:p>
        </w:tc>
      </w:tr>
      <w:tr w:rsidR="00ED6C6F" w:rsidRPr="004467CA" w14:paraId="6393B3EA" w14:textId="77777777" w:rsidTr="00184926">
        <w:tc>
          <w:tcPr>
            <w:tcW w:w="14176" w:type="dxa"/>
            <w:gridSpan w:val="2"/>
            <w:shd w:val="clear" w:color="auto" w:fill="BDD6EE" w:themeFill="accent5" w:themeFillTint="66"/>
          </w:tcPr>
          <w:p w14:paraId="257A657A" w14:textId="77777777" w:rsidR="00ED6C6F" w:rsidRPr="007E0E1C" w:rsidRDefault="00ED6C6F" w:rsidP="00A51C53">
            <w:pPr>
              <w:spacing w:before="120" w:after="120" w:line="235" w:lineRule="auto"/>
              <w:ind w:left="0" w:right="391" w:hanging="11"/>
              <w:rPr>
                <w:bCs/>
                <w:sz w:val="20"/>
                <w:szCs w:val="20"/>
                <w:lang w:val="en-GB"/>
              </w:rPr>
            </w:pPr>
            <w:r w:rsidRPr="007E0E1C">
              <w:rPr>
                <w:b/>
                <w:bCs/>
                <w:sz w:val="20"/>
                <w:szCs w:val="20"/>
                <w:lang w:val="en-GB"/>
              </w:rPr>
              <w:t>9. Learning and Curriculum Design</w:t>
            </w:r>
          </w:p>
        </w:tc>
      </w:tr>
      <w:tr w:rsidR="00ED6C6F" w:rsidRPr="004467CA" w14:paraId="5C84BED9" w14:textId="77777777" w:rsidTr="00184926">
        <w:tc>
          <w:tcPr>
            <w:tcW w:w="2271" w:type="dxa"/>
          </w:tcPr>
          <w:p w14:paraId="3469F37F"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Good Practice Statement</w:t>
            </w:r>
          </w:p>
        </w:tc>
        <w:tc>
          <w:tcPr>
            <w:tcW w:w="11905" w:type="dxa"/>
          </w:tcPr>
          <w:p w14:paraId="5FAF20A8" w14:textId="70551323" w:rsidR="00ED6C6F" w:rsidRPr="007E0E1C" w:rsidRDefault="00ED6C6F" w:rsidP="00A51C53">
            <w:pPr>
              <w:spacing w:before="120" w:after="120" w:line="235" w:lineRule="auto"/>
              <w:ind w:left="0" w:right="116" w:hanging="11"/>
              <w:rPr>
                <w:bCs/>
                <w:sz w:val="20"/>
                <w:szCs w:val="20"/>
                <w:lang w:val="en-GB"/>
              </w:rPr>
            </w:pPr>
            <w:r w:rsidRPr="001A3B9C">
              <w:rPr>
                <w:sz w:val="20"/>
                <w:szCs w:val="20"/>
                <w:lang w:val="en-GB"/>
              </w:rPr>
              <w:t xml:space="preserve">The curricula for </w:t>
            </w:r>
            <w:r w:rsidR="00DB5592">
              <w:rPr>
                <w:sz w:val="20"/>
                <w:szCs w:val="20"/>
                <w:lang w:val="en-GB"/>
              </w:rPr>
              <w:t xml:space="preserve">programmes </w:t>
            </w:r>
            <w:r w:rsidR="0096779C">
              <w:rPr>
                <w:sz w:val="20"/>
                <w:szCs w:val="20"/>
                <w:lang w:val="en-GB"/>
              </w:rPr>
              <w:t xml:space="preserve">to be provided </w:t>
            </w:r>
            <w:r w:rsidR="00DB5592">
              <w:rPr>
                <w:sz w:val="20"/>
                <w:szCs w:val="20"/>
                <w:lang w:val="en-GB"/>
              </w:rPr>
              <w:t>within the desired scope of provision set out above</w:t>
            </w:r>
            <w:r w:rsidR="00737F5E">
              <w:rPr>
                <w:sz w:val="20"/>
                <w:szCs w:val="20"/>
                <w:lang w:val="en-GB"/>
              </w:rPr>
              <w:t>,</w:t>
            </w:r>
            <w:r w:rsidRPr="001A3B9C">
              <w:rPr>
                <w:sz w:val="20"/>
                <w:szCs w:val="20"/>
                <w:lang w:val="en-GB"/>
              </w:rPr>
              <w:t xml:space="preserve"> follow learner-centred principles and an understanding of good practice that is informed by an explicit learning design model supporting constructive alignment to the intended learning outcomes, with purposeful consideration of the most appropriate and fit-for-purpose teaching, learning and assessment methods, and digital tools and platforms, for supporting high levels of interactivity between learners and the learning environment.</w:t>
            </w:r>
          </w:p>
        </w:tc>
      </w:tr>
      <w:tr w:rsidR="00ED6C6F" w:rsidRPr="004467CA" w14:paraId="6453F6EA" w14:textId="77777777" w:rsidTr="00184926">
        <w:tc>
          <w:tcPr>
            <w:tcW w:w="2271" w:type="dxa"/>
          </w:tcPr>
          <w:p w14:paraId="6B9A614C"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lastRenderedPageBreak/>
              <w:t>Provider’s Evidence</w:t>
            </w:r>
          </w:p>
        </w:tc>
        <w:tc>
          <w:tcPr>
            <w:tcW w:w="11905" w:type="dxa"/>
          </w:tcPr>
          <w:p w14:paraId="1C9391FA" w14:textId="77777777" w:rsidR="00ED6C6F" w:rsidRPr="007E0E1C" w:rsidRDefault="00ED6C6F" w:rsidP="00A51C53">
            <w:pPr>
              <w:spacing w:before="120" w:after="120" w:line="235" w:lineRule="auto"/>
              <w:ind w:left="0" w:right="391" w:hanging="11"/>
              <w:rPr>
                <w:bCs/>
                <w:sz w:val="20"/>
                <w:szCs w:val="20"/>
                <w:lang w:val="en-GB"/>
              </w:rPr>
            </w:pPr>
          </w:p>
        </w:tc>
      </w:tr>
      <w:tr w:rsidR="00ED6C6F" w:rsidRPr="004467CA" w14:paraId="67624167" w14:textId="77777777" w:rsidTr="00184926">
        <w:tc>
          <w:tcPr>
            <w:tcW w:w="14176" w:type="dxa"/>
            <w:gridSpan w:val="2"/>
            <w:shd w:val="clear" w:color="auto" w:fill="BDD6EE" w:themeFill="accent5" w:themeFillTint="66"/>
          </w:tcPr>
          <w:p w14:paraId="043459B6" w14:textId="77777777" w:rsidR="00ED6C6F" w:rsidRPr="007E0E1C" w:rsidRDefault="00ED6C6F" w:rsidP="00A51C53">
            <w:pPr>
              <w:spacing w:before="120" w:after="120" w:line="235" w:lineRule="auto"/>
              <w:ind w:left="0" w:right="391" w:hanging="11"/>
              <w:rPr>
                <w:bCs/>
                <w:sz w:val="20"/>
                <w:szCs w:val="20"/>
                <w:lang w:val="en-GB"/>
              </w:rPr>
            </w:pPr>
            <w:r w:rsidRPr="007E0E1C">
              <w:rPr>
                <w:b/>
                <w:bCs/>
                <w:sz w:val="20"/>
                <w:szCs w:val="20"/>
                <w:lang w:val="en-GB"/>
              </w:rPr>
              <w:t>10. Learning Resources and Materials</w:t>
            </w:r>
          </w:p>
        </w:tc>
      </w:tr>
      <w:tr w:rsidR="00ED6C6F" w:rsidRPr="004467CA" w14:paraId="4B5060E2" w14:textId="77777777" w:rsidTr="00184926">
        <w:tc>
          <w:tcPr>
            <w:tcW w:w="2271" w:type="dxa"/>
          </w:tcPr>
          <w:p w14:paraId="3F7405A7"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Good Practice Statement</w:t>
            </w:r>
          </w:p>
        </w:tc>
        <w:tc>
          <w:tcPr>
            <w:tcW w:w="11905" w:type="dxa"/>
          </w:tcPr>
          <w:p w14:paraId="6109AD76" w14:textId="017337B3" w:rsidR="00ED6C6F" w:rsidRPr="007E0E1C" w:rsidRDefault="00ED6C6F" w:rsidP="00A51C53">
            <w:pPr>
              <w:spacing w:before="120" w:after="120" w:line="235" w:lineRule="auto"/>
              <w:ind w:left="0" w:right="116" w:hanging="11"/>
              <w:rPr>
                <w:bCs/>
                <w:sz w:val="20"/>
                <w:szCs w:val="20"/>
                <w:lang w:val="en-GB"/>
              </w:rPr>
            </w:pPr>
            <w:r w:rsidRPr="001A3B9C">
              <w:rPr>
                <w:sz w:val="20"/>
                <w:szCs w:val="20"/>
                <w:lang w:val="en-GB"/>
              </w:rPr>
              <w:t xml:space="preserve">Well-equipped and supported media production facilities and digital tools are available to develop a variety of fit-for-purpose learning materials and resources  and there is appropriate guidance on their effective use, including open educational resources (OER), based on the principles of accessibility and substitution, which are central to good practice for </w:t>
            </w:r>
            <w:r w:rsidR="00D44968">
              <w:rPr>
                <w:sz w:val="20"/>
                <w:szCs w:val="20"/>
                <w:lang w:val="en-GB"/>
              </w:rPr>
              <w:t xml:space="preserve">programmes </w:t>
            </w:r>
            <w:r w:rsidR="006422FB">
              <w:rPr>
                <w:sz w:val="20"/>
                <w:szCs w:val="20"/>
                <w:lang w:val="en-GB"/>
              </w:rPr>
              <w:t xml:space="preserve">to be provided </w:t>
            </w:r>
            <w:r w:rsidR="00D44968">
              <w:rPr>
                <w:sz w:val="20"/>
                <w:szCs w:val="20"/>
                <w:lang w:val="en-GB"/>
              </w:rPr>
              <w:t>within the desired scope of provision set out above.</w:t>
            </w:r>
          </w:p>
        </w:tc>
      </w:tr>
      <w:tr w:rsidR="00ED6C6F" w:rsidRPr="004467CA" w14:paraId="7AFC19E7" w14:textId="77777777" w:rsidTr="00184926">
        <w:tc>
          <w:tcPr>
            <w:tcW w:w="2271" w:type="dxa"/>
          </w:tcPr>
          <w:p w14:paraId="65A18FD9"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Provider’s Evidence</w:t>
            </w:r>
          </w:p>
        </w:tc>
        <w:tc>
          <w:tcPr>
            <w:tcW w:w="11905" w:type="dxa"/>
          </w:tcPr>
          <w:p w14:paraId="02185832" w14:textId="77777777" w:rsidR="00ED6C6F" w:rsidRPr="007E0E1C" w:rsidRDefault="00ED6C6F" w:rsidP="00A51C53">
            <w:pPr>
              <w:spacing w:before="120" w:after="120" w:line="235" w:lineRule="auto"/>
              <w:ind w:left="0" w:right="391" w:hanging="11"/>
              <w:rPr>
                <w:bCs/>
                <w:sz w:val="20"/>
                <w:szCs w:val="20"/>
                <w:lang w:val="en-GB"/>
              </w:rPr>
            </w:pPr>
          </w:p>
        </w:tc>
      </w:tr>
      <w:tr w:rsidR="00ED6C6F" w:rsidRPr="004467CA" w14:paraId="60288CAD" w14:textId="77777777" w:rsidTr="00184926">
        <w:tc>
          <w:tcPr>
            <w:tcW w:w="14176" w:type="dxa"/>
            <w:gridSpan w:val="2"/>
            <w:shd w:val="clear" w:color="auto" w:fill="BDD6EE" w:themeFill="accent5" w:themeFillTint="66"/>
          </w:tcPr>
          <w:p w14:paraId="347AA569" w14:textId="77777777" w:rsidR="00ED6C6F" w:rsidRPr="007E0E1C" w:rsidRDefault="00ED6C6F" w:rsidP="00A51C53">
            <w:pPr>
              <w:spacing w:before="120" w:after="120" w:line="235" w:lineRule="auto"/>
              <w:ind w:left="0" w:right="391" w:hanging="11"/>
              <w:rPr>
                <w:bCs/>
                <w:sz w:val="20"/>
                <w:szCs w:val="20"/>
                <w:lang w:val="en-GB"/>
              </w:rPr>
            </w:pPr>
            <w:r w:rsidRPr="007E0E1C">
              <w:rPr>
                <w:b/>
                <w:bCs/>
                <w:sz w:val="20"/>
                <w:szCs w:val="20"/>
                <w:lang w:val="en-GB"/>
              </w:rPr>
              <w:t>11. Assessment and Feedback Practices</w:t>
            </w:r>
          </w:p>
        </w:tc>
      </w:tr>
      <w:tr w:rsidR="00ED6C6F" w:rsidRPr="004467CA" w14:paraId="6CC88DEE" w14:textId="77777777" w:rsidTr="00184926">
        <w:tc>
          <w:tcPr>
            <w:tcW w:w="2271" w:type="dxa"/>
          </w:tcPr>
          <w:p w14:paraId="0EA9B965"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Good Practice Statement</w:t>
            </w:r>
          </w:p>
        </w:tc>
        <w:tc>
          <w:tcPr>
            <w:tcW w:w="11905" w:type="dxa"/>
          </w:tcPr>
          <w:p w14:paraId="203A046D" w14:textId="4A923892" w:rsidR="00ED6C6F" w:rsidRPr="007E0E1C" w:rsidRDefault="00ED6C6F" w:rsidP="00A51C53">
            <w:pPr>
              <w:spacing w:before="120" w:after="120" w:line="235" w:lineRule="auto"/>
              <w:ind w:left="0" w:right="115" w:hanging="11"/>
              <w:rPr>
                <w:bCs/>
                <w:sz w:val="20"/>
                <w:szCs w:val="20"/>
                <w:lang w:val="en-GB"/>
              </w:rPr>
            </w:pPr>
            <w:r w:rsidRPr="001A3B9C">
              <w:rPr>
                <w:sz w:val="20"/>
                <w:szCs w:val="20"/>
                <w:lang w:val="en-GB"/>
              </w:rPr>
              <w:t xml:space="preserve">Assessment and feedback practices in programmes </w:t>
            </w:r>
            <w:r w:rsidR="006422FB">
              <w:rPr>
                <w:sz w:val="20"/>
                <w:szCs w:val="20"/>
                <w:lang w:val="en-GB"/>
              </w:rPr>
              <w:t xml:space="preserve">to be provided within the desired scope of provision set out above, </w:t>
            </w:r>
            <w:r w:rsidRPr="001A3B9C">
              <w:rPr>
                <w:sz w:val="20"/>
                <w:szCs w:val="20"/>
                <w:lang w:val="en-GB"/>
              </w:rPr>
              <w:t>reflect the principles of Assessment OF/FOR/AS Learning  and involve a variety of formative and summative assessment tasks , which reflect good practice in academic integrity  and integrate, where appropriate, the affordances of digital tools and platforms in enabling learners to achieve the intended learning outcomes.</w:t>
            </w:r>
          </w:p>
        </w:tc>
      </w:tr>
      <w:tr w:rsidR="00ED6C6F" w:rsidRPr="004467CA" w14:paraId="788CE276" w14:textId="77777777" w:rsidTr="00184926">
        <w:tc>
          <w:tcPr>
            <w:tcW w:w="2271" w:type="dxa"/>
          </w:tcPr>
          <w:p w14:paraId="64F9D679"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Provider’s Evidence</w:t>
            </w:r>
          </w:p>
        </w:tc>
        <w:tc>
          <w:tcPr>
            <w:tcW w:w="11905" w:type="dxa"/>
          </w:tcPr>
          <w:p w14:paraId="5FA5D944" w14:textId="77777777" w:rsidR="00ED6C6F" w:rsidRPr="007E0E1C" w:rsidRDefault="00ED6C6F" w:rsidP="00A51C53">
            <w:pPr>
              <w:spacing w:before="120" w:after="120" w:line="235" w:lineRule="auto"/>
              <w:ind w:left="0" w:right="391" w:hanging="11"/>
              <w:rPr>
                <w:bCs/>
                <w:sz w:val="20"/>
                <w:szCs w:val="20"/>
                <w:lang w:val="en-GB"/>
              </w:rPr>
            </w:pPr>
          </w:p>
        </w:tc>
      </w:tr>
      <w:tr w:rsidR="00ED6C6F" w:rsidRPr="004467CA" w14:paraId="49E8D1D2" w14:textId="77777777" w:rsidTr="00184926">
        <w:tc>
          <w:tcPr>
            <w:tcW w:w="14176" w:type="dxa"/>
            <w:gridSpan w:val="2"/>
            <w:shd w:val="clear" w:color="auto" w:fill="BDD6EE" w:themeFill="accent5" w:themeFillTint="66"/>
          </w:tcPr>
          <w:p w14:paraId="4FD8C420" w14:textId="77777777" w:rsidR="00ED6C6F" w:rsidRPr="007E0E1C" w:rsidRDefault="00ED6C6F" w:rsidP="00A51C53">
            <w:pPr>
              <w:spacing w:before="120" w:after="120" w:line="235" w:lineRule="auto"/>
              <w:ind w:left="0" w:right="391" w:hanging="11"/>
              <w:rPr>
                <w:bCs/>
                <w:sz w:val="20"/>
                <w:szCs w:val="20"/>
                <w:lang w:val="en-GB"/>
              </w:rPr>
            </w:pPr>
            <w:r w:rsidRPr="007E0E1C">
              <w:rPr>
                <w:b/>
                <w:bCs/>
                <w:sz w:val="20"/>
                <w:szCs w:val="20"/>
                <w:lang w:val="en-GB"/>
              </w:rPr>
              <w:t>12. Evaluation and Continuous Improvement</w:t>
            </w:r>
          </w:p>
        </w:tc>
      </w:tr>
      <w:tr w:rsidR="00ED6C6F" w:rsidRPr="004467CA" w14:paraId="324B7E3E" w14:textId="77777777" w:rsidTr="00184926">
        <w:tc>
          <w:tcPr>
            <w:tcW w:w="2271" w:type="dxa"/>
          </w:tcPr>
          <w:p w14:paraId="03C64919"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Good Practice Statement</w:t>
            </w:r>
          </w:p>
        </w:tc>
        <w:tc>
          <w:tcPr>
            <w:tcW w:w="11905" w:type="dxa"/>
          </w:tcPr>
          <w:p w14:paraId="68EEF575" w14:textId="62C45A5E" w:rsidR="00ED6C6F" w:rsidRPr="007E0E1C" w:rsidRDefault="00ED6C6F" w:rsidP="00A51C53">
            <w:pPr>
              <w:spacing w:before="120" w:after="120" w:line="235" w:lineRule="auto"/>
              <w:ind w:left="0" w:right="391" w:hanging="11"/>
              <w:rPr>
                <w:bCs/>
                <w:sz w:val="20"/>
                <w:szCs w:val="20"/>
                <w:lang w:val="en-GB"/>
              </w:rPr>
            </w:pPr>
            <w:r w:rsidRPr="001A3B9C">
              <w:rPr>
                <w:sz w:val="20"/>
                <w:szCs w:val="20"/>
                <w:lang w:val="en-GB"/>
              </w:rPr>
              <w:t xml:space="preserve">Evaluation and continuous improvement strategies for </w:t>
            </w:r>
            <w:r w:rsidR="00DB5592">
              <w:rPr>
                <w:sz w:val="20"/>
                <w:szCs w:val="20"/>
                <w:lang w:val="en-GB"/>
              </w:rPr>
              <w:t xml:space="preserve">programmes </w:t>
            </w:r>
            <w:r w:rsidR="006422FB">
              <w:rPr>
                <w:sz w:val="20"/>
                <w:szCs w:val="20"/>
                <w:lang w:val="en-GB"/>
              </w:rPr>
              <w:t xml:space="preserve">to be provided </w:t>
            </w:r>
            <w:r w:rsidR="00DB5592">
              <w:rPr>
                <w:sz w:val="20"/>
                <w:szCs w:val="20"/>
                <w:lang w:val="en-GB"/>
              </w:rPr>
              <w:t>within the desired scope of provision set out above</w:t>
            </w:r>
            <w:r w:rsidRPr="001A3B9C">
              <w:rPr>
                <w:sz w:val="20"/>
                <w:szCs w:val="20"/>
                <w:lang w:val="en-GB"/>
              </w:rPr>
              <w:t xml:space="preserve"> are systemic and cyclical, drawing on data from multiple sources, with clear evidence of how they inform future actions and development plans to enhance the quality of the curriculum to increase learner engagement, interactivity, and success.</w:t>
            </w:r>
          </w:p>
        </w:tc>
      </w:tr>
      <w:tr w:rsidR="00ED6C6F" w:rsidRPr="004467CA" w14:paraId="58CF651C" w14:textId="77777777" w:rsidTr="00184926">
        <w:tc>
          <w:tcPr>
            <w:tcW w:w="2271" w:type="dxa"/>
          </w:tcPr>
          <w:p w14:paraId="1536EA37" w14:textId="77777777" w:rsidR="00ED6C6F" w:rsidRPr="007E0E1C" w:rsidRDefault="00ED6C6F" w:rsidP="00ED6C6F">
            <w:pPr>
              <w:spacing w:before="120" w:after="120" w:line="247" w:lineRule="auto"/>
              <w:ind w:left="0" w:right="516" w:firstLine="0"/>
              <w:rPr>
                <w:b/>
                <w:bCs/>
                <w:sz w:val="20"/>
                <w:szCs w:val="20"/>
                <w:lang w:val="en-GB"/>
              </w:rPr>
            </w:pPr>
            <w:r w:rsidRPr="007E0E1C">
              <w:rPr>
                <w:b/>
                <w:bCs/>
                <w:sz w:val="20"/>
                <w:szCs w:val="20"/>
                <w:lang w:val="en-GB"/>
              </w:rPr>
              <w:t>Provider’s Evidence</w:t>
            </w:r>
          </w:p>
        </w:tc>
        <w:tc>
          <w:tcPr>
            <w:tcW w:w="11905" w:type="dxa"/>
          </w:tcPr>
          <w:p w14:paraId="76C403B6" w14:textId="77777777" w:rsidR="00ED6C6F" w:rsidRPr="007E0E1C" w:rsidRDefault="00ED6C6F" w:rsidP="00A51C53">
            <w:pPr>
              <w:spacing w:before="120" w:after="120" w:line="235" w:lineRule="auto"/>
              <w:ind w:left="0" w:right="391" w:hanging="11"/>
              <w:rPr>
                <w:bCs/>
                <w:sz w:val="20"/>
                <w:szCs w:val="20"/>
                <w:lang w:val="en-GB"/>
              </w:rPr>
            </w:pPr>
          </w:p>
        </w:tc>
      </w:tr>
    </w:tbl>
    <w:p w14:paraId="2766D716" w14:textId="77777777" w:rsidR="00ED6C6F" w:rsidRDefault="00ED6C6F" w:rsidP="00ED6C6F">
      <w:pPr>
        <w:spacing w:after="0" w:line="259" w:lineRule="auto"/>
        <w:ind w:left="0" w:right="10885" w:firstLine="0"/>
        <w:rPr>
          <w:sz w:val="16"/>
          <w:szCs w:val="16"/>
          <w:lang w:val="en-GB"/>
        </w:rPr>
      </w:pPr>
    </w:p>
    <w:p w14:paraId="050AF311" w14:textId="77777777" w:rsidR="00BD3FAB" w:rsidRDefault="00BD3FAB">
      <w:r>
        <w:br w:type="page"/>
      </w:r>
    </w:p>
    <w:tbl>
      <w:tblPr>
        <w:tblStyle w:val="TableGrid0"/>
        <w:tblW w:w="14176" w:type="dxa"/>
        <w:tblInd w:w="-289" w:type="dxa"/>
        <w:tblLook w:val="04A0" w:firstRow="1" w:lastRow="0" w:firstColumn="1" w:lastColumn="0" w:noHBand="0" w:noVBand="1"/>
      </w:tblPr>
      <w:tblGrid>
        <w:gridCol w:w="3795"/>
        <w:gridCol w:w="5551"/>
        <w:gridCol w:w="4830"/>
      </w:tblGrid>
      <w:tr w:rsidR="00ED6C6F" w:rsidRPr="004467CA" w14:paraId="0DC59790" w14:textId="77777777" w:rsidTr="00184926">
        <w:trPr>
          <w:trHeight w:val="368"/>
        </w:trPr>
        <w:tc>
          <w:tcPr>
            <w:tcW w:w="14176" w:type="dxa"/>
            <w:gridSpan w:val="3"/>
            <w:shd w:val="clear" w:color="auto" w:fill="BDD6EE" w:themeFill="accent5" w:themeFillTint="66"/>
          </w:tcPr>
          <w:p w14:paraId="480F4B39" w14:textId="1AE95913" w:rsidR="00ED6C6F" w:rsidRPr="007E0E1C" w:rsidRDefault="00ED6C6F" w:rsidP="00ED6C6F">
            <w:pPr>
              <w:spacing w:before="120" w:after="120" w:line="240" w:lineRule="auto"/>
              <w:ind w:left="0" w:right="6" w:hanging="318"/>
              <w:jc w:val="center"/>
              <w:rPr>
                <w:b/>
                <w:bCs/>
                <w:lang w:val="en-GB"/>
              </w:rPr>
            </w:pPr>
            <w:r>
              <w:lastRenderedPageBreak/>
              <w:br w:type="page"/>
            </w:r>
            <w:r w:rsidRPr="007E0E1C">
              <w:rPr>
                <w:b/>
                <w:bCs/>
                <w:lang w:val="en-GB"/>
              </w:rPr>
              <w:t>OVERALL SELF-ASSESSMENT FOR PROGRAMME CONTEXT</w:t>
            </w:r>
            <w:r w:rsidR="001A2E8E">
              <w:rPr>
                <w:b/>
                <w:bCs/>
                <w:lang w:val="en-GB"/>
              </w:rPr>
              <w:t xml:space="preserve"> </w:t>
            </w:r>
            <w:r w:rsidR="001A2E8E" w:rsidRPr="00BD3FAB">
              <w:rPr>
                <w:sz w:val="20"/>
                <w:szCs w:val="20"/>
                <w:lang w:val="en-GB"/>
              </w:rPr>
              <w:t xml:space="preserve">(enter </w:t>
            </w:r>
            <w:r w:rsidR="000832F9" w:rsidRPr="00BD3FAB">
              <w:rPr>
                <w:b/>
                <w:bCs/>
                <w:color w:val="FF0000"/>
                <w:sz w:val="24"/>
                <w:szCs w:val="24"/>
                <w:lang w:val="en-GB"/>
              </w:rPr>
              <w:sym w:font="Wingdings" w:char="F0FC"/>
            </w:r>
            <w:r w:rsidR="000832F9" w:rsidRPr="00BD3FAB">
              <w:rPr>
                <w:sz w:val="20"/>
                <w:szCs w:val="20"/>
                <w:lang w:val="en-GB"/>
              </w:rPr>
              <w:t xml:space="preserve"> against relevant</w:t>
            </w:r>
            <w:r w:rsidR="00BD3FAB" w:rsidRPr="00BD3FAB">
              <w:rPr>
                <w:sz w:val="20"/>
                <w:szCs w:val="20"/>
                <w:lang w:val="en-GB"/>
              </w:rPr>
              <w:t xml:space="preserve"> description)</w:t>
            </w:r>
          </w:p>
        </w:tc>
      </w:tr>
      <w:tr w:rsidR="00ED6C6F" w:rsidRPr="004467CA" w14:paraId="16786CD4" w14:textId="77777777" w:rsidTr="00184926">
        <w:trPr>
          <w:trHeight w:val="368"/>
        </w:trPr>
        <w:tc>
          <w:tcPr>
            <w:tcW w:w="3795" w:type="dxa"/>
            <w:shd w:val="clear" w:color="auto" w:fill="auto"/>
          </w:tcPr>
          <w:p w14:paraId="70541839" w14:textId="77777777" w:rsidR="00ED6C6F" w:rsidRPr="007C1D66" w:rsidRDefault="00ED6C6F" w:rsidP="00ED6C6F">
            <w:pPr>
              <w:spacing w:before="120" w:after="120" w:line="240" w:lineRule="auto"/>
              <w:ind w:left="0" w:right="6" w:hanging="318"/>
              <w:jc w:val="center"/>
              <w:rPr>
                <w:b/>
                <w:bCs/>
                <w:sz w:val="21"/>
                <w:szCs w:val="21"/>
                <w:lang w:val="en-GB"/>
              </w:rPr>
            </w:pPr>
            <w:r w:rsidRPr="007C1D66">
              <w:rPr>
                <w:b/>
                <w:bCs/>
                <w:sz w:val="21"/>
                <w:szCs w:val="21"/>
                <w:lang w:val="en-GB"/>
              </w:rPr>
              <w:t>Emerging</w:t>
            </w:r>
          </w:p>
        </w:tc>
        <w:tc>
          <w:tcPr>
            <w:tcW w:w="5551" w:type="dxa"/>
            <w:shd w:val="clear" w:color="auto" w:fill="auto"/>
          </w:tcPr>
          <w:p w14:paraId="6532234A" w14:textId="77777777" w:rsidR="00ED6C6F" w:rsidRPr="007C1D66" w:rsidRDefault="00ED6C6F" w:rsidP="00ED6C6F">
            <w:pPr>
              <w:spacing w:before="120" w:after="120" w:line="240" w:lineRule="auto"/>
              <w:ind w:left="0" w:right="6" w:hanging="318"/>
              <w:jc w:val="center"/>
              <w:rPr>
                <w:b/>
                <w:bCs/>
                <w:sz w:val="21"/>
                <w:szCs w:val="21"/>
                <w:lang w:val="en-GB"/>
              </w:rPr>
            </w:pPr>
            <w:r>
              <w:rPr>
                <w:b/>
                <w:bCs/>
                <w:sz w:val="21"/>
                <w:szCs w:val="21"/>
                <w:lang w:val="en-GB"/>
              </w:rPr>
              <w:t xml:space="preserve">    </w:t>
            </w:r>
            <w:r w:rsidRPr="007C1D66">
              <w:rPr>
                <w:b/>
                <w:bCs/>
                <w:sz w:val="21"/>
                <w:szCs w:val="21"/>
                <w:lang w:val="en-GB"/>
              </w:rPr>
              <w:t>Developing</w:t>
            </w:r>
          </w:p>
        </w:tc>
        <w:tc>
          <w:tcPr>
            <w:tcW w:w="4830" w:type="dxa"/>
            <w:shd w:val="clear" w:color="auto" w:fill="auto"/>
          </w:tcPr>
          <w:p w14:paraId="4F80ACF7" w14:textId="77777777" w:rsidR="00ED6C6F" w:rsidRPr="007C1D66" w:rsidRDefault="00ED6C6F" w:rsidP="00ED6C6F">
            <w:pPr>
              <w:spacing w:before="120" w:after="120" w:line="240" w:lineRule="auto"/>
              <w:ind w:left="0" w:right="6" w:hanging="318"/>
              <w:jc w:val="center"/>
              <w:rPr>
                <w:b/>
                <w:bCs/>
                <w:sz w:val="21"/>
                <w:szCs w:val="21"/>
                <w:lang w:val="en-GB"/>
              </w:rPr>
            </w:pPr>
            <w:r w:rsidRPr="007C1D66">
              <w:rPr>
                <w:b/>
                <w:bCs/>
                <w:sz w:val="21"/>
                <w:szCs w:val="21"/>
                <w:lang w:val="en-GB"/>
              </w:rPr>
              <w:t>Mature</w:t>
            </w:r>
          </w:p>
        </w:tc>
      </w:tr>
      <w:tr w:rsidR="002B6EA0" w:rsidRPr="004467CA" w14:paraId="0AEBD442" w14:textId="77777777" w:rsidTr="00E33C67">
        <w:tc>
          <w:tcPr>
            <w:tcW w:w="14176" w:type="dxa"/>
            <w:gridSpan w:val="3"/>
            <w:tcBorders>
              <w:top w:val="single" w:sz="4" w:space="0" w:color="auto"/>
              <w:bottom w:val="single" w:sz="4" w:space="0" w:color="auto"/>
            </w:tcBorders>
            <w:shd w:val="clear" w:color="auto" w:fill="auto"/>
          </w:tcPr>
          <w:p w14:paraId="3793FD47" w14:textId="77777777" w:rsidR="002B6EA0" w:rsidRDefault="002B6EA0" w:rsidP="002B6EA0">
            <w:pPr>
              <w:spacing w:after="0" w:line="240" w:lineRule="auto"/>
              <w:ind w:left="0" w:right="6" w:firstLine="0"/>
              <w:rPr>
                <w:noProof/>
                <w:sz w:val="21"/>
                <w:szCs w:val="21"/>
                <w:lang w:val="en-GB"/>
              </w:rPr>
            </w:pPr>
            <w:r w:rsidRPr="002B6EA0">
              <w:rPr>
                <w:b/>
                <w:bCs/>
                <w:noProof/>
                <w:sz w:val="21"/>
                <w:szCs w:val="21"/>
                <w:lang w:val="en-GB"/>
              </w:rPr>
              <w:t>Gaps to be filled</w:t>
            </w:r>
            <w:r>
              <w:rPr>
                <w:noProof/>
                <w:sz w:val="21"/>
                <w:szCs w:val="21"/>
                <w:lang w:val="en-GB"/>
              </w:rPr>
              <w:t xml:space="preserve">: </w:t>
            </w:r>
          </w:p>
          <w:p w14:paraId="1442288A" w14:textId="77777777" w:rsidR="00BD3FAB" w:rsidRDefault="00BD3FAB" w:rsidP="002B6EA0">
            <w:pPr>
              <w:spacing w:after="0" w:line="240" w:lineRule="auto"/>
              <w:ind w:left="0" w:right="6" w:firstLine="0"/>
              <w:rPr>
                <w:noProof/>
                <w:sz w:val="21"/>
                <w:szCs w:val="21"/>
                <w:lang w:val="en-GB"/>
              </w:rPr>
            </w:pPr>
          </w:p>
          <w:p w14:paraId="090CBD3C" w14:textId="77777777" w:rsidR="00BD3FAB" w:rsidRDefault="00BD3FAB" w:rsidP="002B6EA0">
            <w:pPr>
              <w:spacing w:after="0" w:line="240" w:lineRule="auto"/>
              <w:ind w:left="0" w:right="6" w:firstLine="0"/>
              <w:rPr>
                <w:noProof/>
                <w:sz w:val="21"/>
                <w:szCs w:val="21"/>
                <w:lang w:val="en-GB"/>
              </w:rPr>
            </w:pPr>
          </w:p>
          <w:p w14:paraId="2FCAE0F9" w14:textId="77777777" w:rsidR="00BD3FAB" w:rsidRDefault="00BD3FAB" w:rsidP="002B6EA0">
            <w:pPr>
              <w:spacing w:after="0" w:line="240" w:lineRule="auto"/>
              <w:ind w:left="0" w:right="6" w:firstLine="0"/>
              <w:rPr>
                <w:noProof/>
                <w:sz w:val="21"/>
                <w:szCs w:val="21"/>
                <w:lang w:val="en-GB"/>
              </w:rPr>
            </w:pPr>
          </w:p>
          <w:p w14:paraId="5B87FF2B" w14:textId="77777777" w:rsidR="00BD3FAB" w:rsidRDefault="00BD3FAB" w:rsidP="002B6EA0">
            <w:pPr>
              <w:spacing w:after="0" w:line="240" w:lineRule="auto"/>
              <w:ind w:left="0" w:right="6" w:firstLine="0"/>
              <w:rPr>
                <w:noProof/>
                <w:sz w:val="21"/>
                <w:szCs w:val="21"/>
                <w:lang w:val="en-GB"/>
              </w:rPr>
            </w:pPr>
          </w:p>
          <w:p w14:paraId="576932B7" w14:textId="77777777" w:rsidR="00BD3FAB" w:rsidRDefault="00BD3FAB" w:rsidP="002B6EA0">
            <w:pPr>
              <w:spacing w:after="0" w:line="240" w:lineRule="auto"/>
              <w:ind w:left="0" w:right="6" w:firstLine="0"/>
              <w:rPr>
                <w:noProof/>
                <w:sz w:val="21"/>
                <w:szCs w:val="21"/>
                <w:lang w:val="en-GB"/>
              </w:rPr>
            </w:pPr>
          </w:p>
          <w:p w14:paraId="0DF6DC13" w14:textId="77777777" w:rsidR="00BD3FAB" w:rsidRDefault="00BD3FAB" w:rsidP="002B6EA0">
            <w:pPr>
              <w:spacing w:after="0" w:line="240" w:lineRule="auto"/>
              <w:ind w:left="0" w:right="6" w:firstLine="0"/>
              <w:rPr>
                <w:noProof/>
                <w:sz w:val="21"/>
                <w:szCs w:val="21"/>
                <w:lang w:val="en-GB"/>
              </w:rPr>
            </w:pPr>
          </w:p>
          <w:p w14:paraId="00C11914" w14:textId="641FE8CD" w:rsidR="00BD3FAB" w:rsidRDefault="00BD3FAB" w:rsidP="002B6EA0">
            <w:pPr>
              <w:spacing w:after="0" w:line="240" w:lineRule="auto"/>
              <w:ind w:left="0" w:right="6" w:firstLine="0"/>
              <w:rPr>
                <w:noProof/>
                <w:sz w:val="21"/>
                <w:szCs w:val="21"/>
                <w:lang w:val="en-GB"/>
              </w:rPr>
            </w:pPr>
          </w:p>
        </w:tc>
      </w:tr>
    </w:tbl>
    <w:p w14:paraId="60C8E5E7" w14:textId="77777777" w:rsidR="00ED6C6F" w:rsidRDefault="00ED6C6F">
      <w:r>
        <w:br w:type="page"/>
      </w:r>
    </w:p>
    <w:tbl>
      <w:tblPr>
        <w:tblStyle w:val="TableGrid0"/>
        <w:tblW w:w="14601" w:type="dxa"/>
        <w:tblInd w:w="-289" w:type="dxa"/>
        <w:tblLook w:val="04A0" w:firstRow="1" w:lastRow="0" w:firstColumn="1" w:lastColumn="0" w:noHBand="0" w:noVBand="1"/>
      </w:tblPr>
      <w:tblGrid>
        <w:gridCol w:w="2350"/>
        <w:gridCol w:w="12251"/>
      </w:tblGrid>
      <w:tr w:rsidR="00ED6C6F" w:rsidRPr="007C1D66" w14:paraId="41D44D67" w14:textId="77777777" w:rsidTr="00184926">
        <w:tc>
          <w:tcPr>
            <w:tcW w:w="14601" w:type="dxa"/>
            <w:gridSpan w:val="2"/>
            <w:shd w:val="clear" w:color="auto" w:fill="BDD6EE" w:themeFill="accent5" w:themeFillTint="66"/>
          </w:tcPr>
          <w:p w14:paraId="2EA66DF0" w14:textId="1C5AC1C8" w:rsidR="00ED6C6F" w:rsidRPr="007E0E1C" w:rsidRDefault="00ED6C6F" w:rsidP="00ED6C6F">
            <w:pPr>
              <w:spacing w:before="120" w:after="120" w:line="247" w:lineRule="auto"/>
              <w:ind w:left="0" w:right="516" w:firstLine="0"/>
              <w:jc w:val="center"/>
              <w:rPr>
                <w:rFonts w:asciiTheme="minorHAnsi" w:hAnsiTheme="minorHAnsi" w:cstheme="minorHAnsi"/>
                <w:b/>
                <w:bCs/>
                <w:lang w:val="en-GB"/>
              </w:rPr>
            </w:pPr>
            <w:r w:rsidRPr="007E0E1C">
              <w:rPr>
                <w:rFonts w:asciiTheme="minorHAnsi" w:hAnsiTheme="minorHAnsi" w:cstheme="minorHAnsi"/>
                <w:b/>
                <w:bCs/>
                <w:lang w:val="en-GB"/>
              </w:rPr>
              <w:lastRenderedPageBreak/>
              <w:t>LEARNER EXPERIENCE CONTEXT</w:t>
            </w:r>
          </w:p>
        </w:tc>
      </w:tr>
      <w:tr w:rsidR="00ED6C6F" w:rsidRPr="007C1D66" w14:paraId="5E0E1847" w14:textId="77777777" w:rsidTr="00184926">
        <w:tc>
          <w:tcPr>
            <w:tcW w:w="2350" w:type="dxa"/>
            <w:tcBorders>
              <w:bottom w:val="single" w:sz="4" w:space="0" w:color="auto"/>
            </w:tcBorders>
          </w:tcPr>
          <w:p w14:paraId="08AA519F" w14:textId="77777777" w:rsidR="00ED6C6F" w:rsidRPr="007C1D66" w:rsidRDefault="00ED6C6F" w:rsidP="00ED6C6F">
            <w:pPr>
              <w:tabs>
                <w:tab w:val="center" w:pos="2916"/>
              </w:tabs>
              <w:spacing w:before="120" w:after="120" w:line="240" w:lineRule="auto"/>
              <w:ind w:left="0" w:right="0" w:firstLine="0"/>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Scoping Statement</w:t>
            </w:r>
          </w:p>
        </w:tc>
        <w:tc>
          <w:tcPr>
            <w:tcW w:w="12251" w:type="dxa"/>
          </w:tcPr>
          <w:p w14:paraId="0909F524" w14:textId="1EE8E733" w:rsidR="00ED6C6F" w:rsidRPr="00C0082C" w:rsidRDefault="00ED6C6F" w:rsidP="00A51C53">
            <w:pPr>
              <w:spacing w:before="60" w:after="60" w:line="247" w:lineRule="auto"/>
              <w:ind w:left="0" w:right="85" w:hanging="11"/>
              <w:rPr>
                <w:rFonts w:asciiTheme="minorHAnsi" w:hAnsiTheme="minorHAnsi" w:cstheme="minorHAnsi"/>
                <w:sz w:val="21"/>
                <w:szCs w:val="21"/>
                <w:lang w:val="en-GB"/>
              </w:rPr>
            </w:pPr>
            <w:r w:rsidRPr="001A3B9C">
              <w:rPr>
                <w:sz w:val="21"/>
                <w:szCs w:val="21"/>
              </w:rPr>
              <w:t xml:space="preserve">The Learner Experience Context focuses on the learner, their choices, and whether the support and development services and related digital resources designed to promote high levels of engagement, learner success and well-being are fit-for-purpose. It establishes whether procedures are in place to ensure learners are adequately informed about the programme and aware of both online and offline learning support and development services available to them, with a particular focus on supporting study readiness, equality of opportunity and positive outcomes for learners based on learner-centred and good practice principles for </w:t>
            </w:r>
            <w:r w:rsidR="00295B7F">
              <w:rPr>
                <w:sz w:val="21"/>
                <w:szCs w:val="21"/>
              </w:rPr>
              <w:t xml:space="preserve">blended and/or fully online </w:t>
            </w:r>
            <w:r w:rsidR="00D44968">
              <w:rPr>
                <w:sz w:val="21"/>
                <w:szCs w:val="21"/>
              </w:rPr>
              <w:t>programmes.</w:t>
            </w:r>
          </w:p>
        </w:tc>
      </w:tr>
      <w:tr w:rsidR="00ED6C6F" w:rsidRPr="007E0E1C" w14:paraId="1C096B3A" w14:textId="77777777" w:rsidTr="00184926">
        <w:tc>
          <w:tcPr>
            <w:tcW w:w="14601" w:type="dxa"/>
            <w:gridSpan w:val="2"/>
            <w:tcBorders>
              <w:top w:val="single" w:sz="4" w:space="0" w:color="auto"/>
            </w:tcBorders>
            <w:shd w:val="clear" w:color="auto" w:fill="BDD6EE" w:themeFill="accent5" w:themeFillTint="66"/>
          </w:tcPr>
          <w:p w14:paraId="5DC65074" w14:textId="77777777" w:rsidR="00ED6C6F" w:rsidRPr="007E0E1C" w:rsidRDefault="00ED6C6F" w:rsidP="00A51C53">
            <w:pPr>
              <w:spacing w:before="120" w:after="120" w:line="247" w:lineRule="auto"/>
              <w:ind w:left="0" w:right="516" w:hanging="11"/>
              <w:rPr>
                <w:rFonts w:asciiTheme="minorHAnsi" w:hAnsiTheme="minorHAnsi" w:cstheme="minorHAnsi"/>
                <w:b/>
                <w:bCs/>
                <w:sz w:val="20"/>
                <w:szCs w:val="20"/>
                <w:lang w:val="en-GB"/>
              </w:rPr>
            </w:pPr>
            <w:r w:rsidRPr="007E0E1C">
              <w:rPr>
                <w:rFonts w:asciiTheme="minorHAnsi" w:hAnsiTheme="minorHAnsi" w:cstheme="minorHAnsi"/>
                <w:b/>
                <w:bCs/>
                <w:sz w:val="20"/>
                <w:szCs w:val="20"/>
                <w:lang w:val="en-GB"/>
              </w:rPr>
              <w:t>13. Thinking about Study</w:t>
            </w:r>
          </w:p>
        </w:tc>
      </w:tr>
      <w:tr w:rsidR="00ED6C6F" w:rsidRPr="007E0E1C" w14:paraId="68E7740E" w14:textId="77777777" w:rsidTr="00184926">
        <w:tc>
          <w:tcPr>
            <w:tcW w:w="2350" w:type="dxa"/>
          </w:tcPr>
          <w:p w14:paraId="306357EE" w14:textId="77777777" w:rsidR="00ED6C6F" w:rsidRPr="00184926" w:rsidRDefault="00ED6C6F" w:rsidP="00ED6C6F">
            <w:pPr>
              <w:spacing w:before="120" w:after="120" w:line="247" w:lineRule="auto"/>
              <w:ind w:left="0" w:right="176" w:firstLine="0"/>
              <w:rPr>
                <w:rFonts w:asciiTheme="minorHAnsi" w:hAnsiTheme="minorHAnsi" w:cstheme="minorHAnsi"/>
                <w:sz w:val="20"/>
                <w:szCs w:val="20"/>
                <w:lang w:val="en-GB"/>
              </w:rPr>
            </w:pPr>
            <w:r w:rsidRPr="00184926">
              <w:rPr>
                <w:rFonts w:asciiTheme="minorHAnsi" w:hAnsiTheme="minorHAnsi" w:cstheme="minorHAnsi"/>
                <w:b/>
                <w:bCs/>
                <w:sz w:val="20"/>
                <w:szCs w:val="20"/>
                <w:lang w:val="en-GB"/>
              </w:rPr>
              <w:t>Good Practice Statement</w:t>
            </w:r>
          </w:p>
        </w:tc>
        <w:tc>
          <w:tcPr>
            <w:tcW w:w="12251" w:type="dxa"/>
            <w:shd w:val="clear" w:color="auto" w:fill="auto"/>
          </w:tcPr>
          <w:p w14:paraId="6E31005A" w14:textId="67FA5EB9" w:rsidR="00ED6C6F" w:rsidRPr="007E0E1C" w:rsidRDefault="00ED6C6F" w:rsidP="00A51C53">
            <w:pPr>
              <w:spacing w:before="120" w:after="120" w:line="247" w:lineRule="auto"/>
              <w:ind w:left="0" w:right="312" w:hanging="11"/>
              <w:rPr>
                <w:rFonts w:asciiTheme="minorHAnsi" w:hAnsiTheme="minorHAnsi" w:cstheme="minorHAnsi"/>
                <w:sz w:val="20"/>
                <w:szCs w:val="20"/>
                <w:lang w:val="en-GB"/>
              </w:rPr>
            </w:pPr>
            <w:r w:rsidRPr="001A3B9C">
              <w:rPr>
                <w:color w:val="000000"/>
                <w:sz w:val="20"/>
                <w:szCs w:val="20"/>
                <w:lang w:val="en-GB"/>
              </w:rPr>
              <w:t>Prospective learners have the appropriate information to make informed choices about whether a particular programme of study is the best fit for them, given the conditions and their personal circumstances when considering engaging in a blended and/or fully online programme.</w:t>
            </w:r>
          </w:p>
        </w:tc>
      </w:tr>
      <w:tr w:rsidR="00ED6C6F" w:rsidRPr="007E0E1C" w14:paraId="7D7ADB34" w14:textId="77777777" w:rsidTr="00184926">
        <w:tc>
          <w:tcPr>
            <w:tcW w:w="2350" w:type="dxa"/>
          </w:tcPr>
          <w:p w14:paraId="125C2491" w14:textId="77777777" w:rsidR="00ED6C6F" w:rsidRPr="00184926" w:rsidRDefault="00ED6C6F" w:rsidP="00ED6C6F">
            <w:pPr>
              <w:spacing w:before="120" w:after="120" w:line="247" w:lineRule="auto"/>
              <w:ind w:left="0" w:right="516" w:firstLine="0"/>
              <w:rPr>
                <w:rFonts w:asciiTheme="minorHAnsi" w:hAnsiTheme="minorHAnsi" w:cstheme="minorHAnsi"/>
                <w:sz w:val="20"/>
                <w:szCs w:val="20"/>
                <w:lang w:val="en-GB"/>
              </w:rPr>
            </w:pPr>
            <w:r w:rsidRPr="00184926">
              <w:rPr>
                <w:rFonts w:asciiTheme="minorHAnsi" w:hAnsiTheme="minorHAnsi" w:cstheme="minorHAnsi"/>
                <w:b/>
                <w:bCs/>
                <w:sz w:val="20"/>
                <w:szCs w:val="20"/>
                <w:lang w:val="en-GB"/>
              </w:rPr>
              <w:t>Provider’s Evidence</w:t>
            </w:r>
          </w:p>
        </w:tc>
        <w:tc>
          <w:tcPr>
            <w:tcW w:w="12251" w:type="dxa"/>
          </w:tcPr>
          <w:p w14:paraId="73F37C3B"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p w14:paraId="5EF1CE0E"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tc>
      </w:tr>
      <w:tr w:rsidR="00ED6C6F" w:rsidRPr="007E0E1C" w14:paraId="2683356E" w14:textId="77777777" w:rsidTr="00184926">
        <w:tc>
          <w:tcPr>
            <w:tcW w:w="14601" w:type="dxa"/>
            <w:gridSpan w:val="2"/>
            <w:tcBorders>
              <w:top w:val="single" w:sz="4" w:space="0" w:color="auto"/>
            </w:tcBorders>
            <w:shd w:val="clear" w:color="auto" w:fill="BDD6EE" w:themeFill="accent5" w:themeFillTint="66"/>
          </w:tcPr>
          <w:p w14:paraId="6D385E36" w14:textId="77777777" w:rsidR="00ED6C6F" w:rsidRPr="00184926" w:rsidRDefault="00ED6C6F" w:rsidP="00A51C53">
            <w:pPr>
              <w:spacing w:before="120" w:after="120" w:line="247" w:lineRule="auto"/>
              <w:ind w:left="0" w:right="516" w:hanging="11"/>
              <w:rPr>
                <w:rFonts w:asciiTheme="minorHAnsi" w:hAnsiTheme="minorHAnsi" w:cstheme="minorHAnsi"/>
                <w:b/>
                <w:bCs/>
                <w:sz w:val="20"/>
                <w:szCs w:val="20"/>
                <w:lang w:val="en-GB"/>
              </w:rPr>
            </w:pPr>
            <w:r w:rsidRPr="00184926">
              <w:rPr>
                <w:rFonts w:asciiTheme="minorHAnsi" w:hAnsiTheme="minorHAnsi" w:cstheme="minorHAnsi"/>
                <w:b/>
                <w:bCs/>
                <w:sz w:val="20"/>
                <w:szCs w:val="20"/>
                <w:lang w:val="en-GB"/>
              </w:rPr>
              <w:t>14. Learning Support and Development</w:t>
            </w:r>
          </w:p>
        </w:tc>
      </w:tr>
      <w:tr w:rsidR="00ED6C6F" w:rsidRPr="007E0E1C" w14:paraId="6802D3E1" w14:textId="77777777" w:rsidTr="00184926">
        <w:tc>
          <w:tcPr>
            <w:tcW w:w="2350" w:type="dxa"/>
          </w:tcPr>
          <w:p w14:paraId="12A58186" w14:textId="77777777" w:rsidR="00ED6C6F" w:rsidRPr="00184926" w:rsidRDefault="00ED6C6F" w:rsidP="00ED6C6F">
            <w:pPr>
              <w:spacing w:before="120" w:after="120" w:line="247" w:lineRule="auto"/>
              <w:ind w:left="0" w:right="176" w:firstLine="0"/>
              <w:rPr>
                <w:rFonts w:asciiTheme="minorHAnsi" w:hAnsiTheme="minorHAnsi" w:cstheme="minorHAnsi"/>
                <w:sz w:val="20"/>
                <w:szCs w:val="20"/>
                <w:lang w:val="en-GB"/>
              </w:rPr>
            </w:pPr>
            <w:r w:rsidRPr="00184926">
              <w:rPr>
                <w:rFonts w:asciiTheme="minorHAnsi" w:hAnsiTheme="minorHAnsi" w:cstheme="minorHAnsi"/>
                <w:b/>
                <w:bCs/>
                <w:sz w:val="20"/>
                <w:szCs w:val="20"/>
                <w:lang w:val="en-GB"/>
              </w:rPr>
              <w:t>Good Practice Statement</w:t>
            </w:r>
          </w:p>
        </w:tc>
        <w:tc>
          <w:tcPr>
            <w:tcW w:w="12251" w:type="dxa"/>
            <w:shd w:val="clear" w:color="auto" w:fill="auto"/>
          </w:tcPr>
          <w:p w14:paraId="7266ACDF" w14:textId="77777777" w:rsidR="00ED6C6F" w:rsidRPr="007E0E1C" w:rsidRDefault="00ED6C6F" w:rsidP="00A51C53">
            <w:pPr>
              <w:spacing w:before="120" w:after="120" w:line="247" w:lineRule="auto"/>
              <w:ind w:left="0" w:right="312" w:hanging="11"/>
              <w:rPr>
                <w:rFonts w:asciiTheme="minorHAnsi" w:hAnsiTheme="minorHAnsi" w:cstheme="minorHAnsi"/>
                <w:sz w:val="20"/>
                <w:szCs w:val="20"/>
                <w:lang w:val="en-GB"/>
              </w:rPr>
            </w:pPr>
            <w:r w:rsidRPr="001A3B9C">
              <w:rPr>
                <w:rFonts w:asciiTheme="minorHAnsi" w:eastAsiaTheme="minorEastAsia" w:hAnsiTheme="minorHAnsi" w:cstheme="minorHAnsi"/>
                <w:color w:val="auto"/>
                <w:sz w:val="20"/>
                <w:szCs w:val="20"/>
                <w:lang w:val="en-GB"/>
              </w:rPr>
              <w:t>Consistent with the principles of equivalency and digital-first, well-resourced and fit-for-purpose learning support and development services and related resources are available to all learners. They are fully aware of what they can access, both online and offline, and make effective use of them when needed to support their well-being, chances of success and ability to achieve the programme learning outcomes.</w:t>
            </w:r>
          </w:p>
        </w:tc>
      </w:tr>
      <w:tr w:rsidR="00ED6C6F" w:rsidRPr="007E0E1C" w14:paraId="354D769A" w14:textId="77777777" w:rsidTr="00184926">
        <w:tc>
          <w:tcPr>
            <w:tcW w:w="2350" w:type="dxa"/>
          </w:tcPr>
          <w:p w14:paraId="4F875C18" w14:textId="77777777" w:rsidR="00ED6C6F" w:rsidRPr="00184926" w:rsidRDefault="00ED6C6F" w:rsidP="00ED6C6F">
            <w:pPr>
              <w:spacing w:before="120" w:after="120" w:line="247" w:lineRule="auto"/>
              <w:ind w:left="0" w:right="516" w:firstLine="0"/>
              <w:rPr>
                <w:rFonts w:asciiTheme="minorHAnsi" w:hAnsiTheme="minorHAnsi" w:cstheme="minorHAnsi"/>
                <w:sz w:val="20"/>
                <w:szCs w:val="20"/>
                <w:lang w:val="en-GB"/>
              </w:rPr>
            </w:pPr>
            <w:r w:rsidRPr="00184926">
              <w:rPr>
                <w:rFonts w:asciiTheme="minorHAnsi" w:hAnsiTheme="minorHAnsi" w:cstheme="minorHAnsi"/>
                <w:b/>
                <w:bCs/>
                <w:sz w:val="20"/>
                <w:szCs w:val="20"/>
                <w:lang w:val="en-GB"/>
              </w:rPr>
              <w:t>Provider’s Evidence</w:t>
            </w:r>
          </w:p>
        </w:tc>
        <w:tc>
          <w:tcPr>
            <w:tcW w:w="12251" w:type="dxa"/>
          </w:tcPr>
          <w:p w14:paraId="16E4DA24"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p w14:paraId="64914D40"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tc>
      </w:tr>
      <w:tr w:rsidR="00ED6C6F" w:rsidRPr="007E0E1C" w14:paraId="6107E7AC" w14:textId="77777777" w:rsidTr="00184926">
        <w:tc>
          <w:tcPr>
            <w:tcW w:w="14601" w:type="dxa"/>
            <w:gridSpan w:val="2"/>
            <w:shd w:val="clear" w:color="auto" w:fill="BDD6EE" w:themeFill="accent5" w:themeFillTint="66"/>
          </w:tcPr>
          <w:p w14:paraId="77CBD06D" w14:textId="77777777" w:rsidR="00ED6C6F" w:rsidRPr="00184926" w:rsidRDefault="00ED6C6F" w:rsidP="00A51C53">
            <w:pPr>
              <w:spacing w:before="120" w:after="120" w:line="235" w:lineRule="auto"/>
              <w:ind w:left="0" w:right="391" w:hanging="11"/>
              <w:rPr>
                <w:rFonts w:asciiTheme="minorHAnsi" w:hAnsiTheme="minorHAnsi" w:cstheme="minorHAnsi"/>
                <w:b/>
                <w:sz w:val="20"/>
                <w:szCs w:val="20"/>
                <w:lang w:val="en-GB"/>
              </w:rPr>
            </w:pPr>
            <w:r w:rsidRPr="00184926">
              <w:rPr>
                <w:rFonts w:asciiTheme="minorHAnsi" w:hAnsiTheme="minorHAnsi" w:cstheme="minorHAnsi"/>
                <w:b/>
                <w:sz w:val="20"/>
                <w:szCs w:val="20"/>
                <w:lang w:val="en-GB"/>
              </w:rPr>
              <w:t>15. Equity of Opportunity</w:t>
            </w:r>
          </w:p>
        </w:tc>
      </w:tr>
      <w:tr w:rsidR="00ED6C6F" w:rsidRPr="007E0E1C" w14:paraId="3D47B5AC" w14:textId="77777777" w:rsidTr="00184926">
        <w:tc>
          <w:tcPr>
            <w:tcW w:w="2350" w:type="dxa"/>
          </w:tcPr>
          <w:p w14:paraId="074F97EA" w14:textId="77777777" w:rsidR="00ED6C6F" w:rsidRPr="00184926" w:rsidRDefault="00ED6C6F" w:rsidP="00ED6C6F">
            <w:pPr>
              <w:spacing w:before="120" w:after="120" w:line="247" w:lineRule="auto"/>
              <w:ind w:left="0" w:right="516" w:firstLine="0"/>
              <w:rPr>
                <w:rFonts w:asciiTheme="minorHAnsi" w:hAnsiTheme="minorHAnsi" w:cstheme="minorHAnsi"/>
                <w:b/>
                <w:bCs/>
                <w:sz w:val="20"/>
                <w:szCs w:val="20"/>
                <w:lang w:val="en-GB"/>
              </w:rPr>
            </w:pPr>
            <w:r w:rsidRPr="00184926">
              <w:rPr>
                <w:rFonts w:asciiTheme="minorHAnsi" w:hAnsiTheme="minorHAnsi" w:cstheme="minorHAnsi"/>
                <w:b/>
                <w:bCs/>
                <w:sz w:val="20"/>
                <w:szCs w:val="20"/>
                <w:lang w:val="en-GB"/>
              </w:rPr>
              <w:t>Good Practice Statement</w:t>
            </w:r>
          </w:p>
        </w:tc>
        <w:tc>
          <w:tcPr>
            <w:tcW w:w="12251" w:type="dxa"/>
          </w:tcPr>
          <w:p w14:paraId="1383AB1A"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r w:rsidRPr="001A3B9C">
              <w:rPr>
                <w:bCs/>
                <w:sz w:val="20"/>
                <w:szCs w:val="20"/>
                <w:lang w:val="en-GB"/>
              </w:rPr>
              <w:t>Consistent with learner-centred principles, teaching, learning and assessment practices and associated activities and resources provide every learner with an equitable, fair, and realistic opportunity to achieve the intended learning outcomes—irrespective of the study mode.</w:t>
            </w:r>
          </w:p>
        </w:tc>
      </w:tr>
      <w:tr w:rsidR="00ED6C6F" w:rsidRPr="007E0E1C" w14:paraId="4F88444D" w14:textId="77777777" w:rsidTr="00184926">
        <w:tc>
          <w:tcPr>
            <w:tcW w:w="2350" w:type="dxa"/>
          </w:tcPr>
          <w:p w14:paraId="03116E4A" w14:textId="77777777" w:rsidR="00ED6C6F" w:rsidRPr="00184926" w:rsidRDefault="00ED6C6F" w:rsidP="00ED6C6F">
            <w:pPr>
              <w:spacing w:before="120" w:after="120" w:line="247" w:lineRule="auto"/>
              <w:ind w:left="0" w:right="516" w:firstLine="0"/>
              <w:rPr>
                <w:rFonts w:asciiTheme="minorHAnsi" w:hAnsiTheme="minorHAnsi" w:cstheme="minorHAnsi"/>
                <w:b/>
                <w:bCs/>
                <w:sz w:val="20"/>
                <w:szCs w:val="20"/>
                <w:lang w:val="en-GB"/>
              </w:rPr>
            </w:pPr>
            <w:r w:rsidRPr="00184926">
              <w:rPr>
                <w:rFonts w:asciiTheme="minorHAnsi" w:hAnsiTheme="minorHAnsi" w:cstheme="minorHAnsi"/>
                <w:b/>
                <w:bCs/>
                <w:sz w:val="20"/>
                <w:szCs w:val="20"/>
                <w:lang w:val="en-GB"/>
              </w:rPr>
              <w:t>Provider’s Evidence</w:t>
            </w:r>
          </w:p>
        </w:tc>
        <w:tc>
          <w:tcPr>
            <w:tcW w:w="12251" w:type="dxa"/>
          </w:tcPr>
          <w:p w14:paraId="4EC0C873"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p w14:paraId="54D6CD21" w14:textId="77777777" w:rsidR="00ED6C6F" w:rsidRPr="007E0E1C" w:rsidRDefault="00ED6C6F" w:rsidP="00A51C53">
            <w:pPr>
              <w:spacing w:before="120" w:after="120" w:line="235" w:lineRule="auto"/>
              <w:ind w:left="0" w:right="391" w:hanging="11"/>
              <w:rPr>
                <w:rFonts w:asciiTheme="minorHAnsi" w:hAnsiTheme="minorHAnsi" w:cstheme="minorHAnsi"/>
                <w:bCs/>
                <w:sz w:val="20"/>
                <w:szCs w:val="20"/>
                <w:lang w:val="en-GB"/>
              </w:rPr>
            </w:pPr>
          </w:p>
        </w:tc>
      </w:tr>
    </w:tbl>
    <w:p w14:paraId="69E63BCA" w14:textId="1C2F52A0" w:rsidR="00ED6C6F" w:rsidRDefault="00ED6C6F" w:rsidP="00184926">
      <w:pPr>
        <w:ind w:left="0" w:firstLine="0"/>
      </w:pPr>
    </w:p>
    <w:tbl>
      <w:tblPr>
        <w:tblStyle w:val="TableGrid0"/>
        <w:tblpPr w:leftFromText="180" w:rightFromText="180" w:vertAnchor="text" w:horzAnchor="margin" w:tblpX="-289" w:tblpY="-842"/>
        <w:tblW w:w="14687" w:type="dxa"/>
        <w:tblLook w:val="04A0" w:firstRow="1" w:lastRow="0" w:firstColumn="1" w:lastColumn="0" w:noHBand="0" w:noVBand="1"/>
      </w:tblPr>
      <w:tblGrid>
        <w:gridCol w:w="2497"/>
        <w:gridCol w:w="12190"/>
      </w:tblGrid>
      <w:tr w:rsidR="00ED6C6F" w:rsidRPr="007E0E1C" w14:paraId="5CE23617" w14:textId="77777777" w:rsidTr="00184926">
        <w:tc>
          <w:tcPr>
            <w:tcW w:w="14687" w:type="dxa"/>
            <w:gridSpan w:val="2"/>
            <w:shd w:val="clear" w:color="auto" w:fill="BDD6EE" w:themeFill="accent5" w:themeFillTint="66"/>
          </w:tcPr>
          <w:p w14:paraId="39B12B98" w14:textId="74F4AEE3" w:rsidR="00ED6C6F" w:rsidRPr="007E0E1C" w:rsidRDefault="00ED6C6F" w:rsidP="00184926">
            <w:pPr>
              <w:spacing w:before="120" w:after="120" w:line="235" w:lineRule="auto"/>
              <w:ind w:left="0" w:right="391" w:firstLine="0"/>
              <w:rPr>
                <w:rFonts w:asciiTheme="minorHAnsi" w:hAnsiTheme="minorHAnsi" w:cstheme="minorHAnsi"/>
                <w:bCs/>
                <w:sz w:val="20"/>
                <w:szCs w:val="20"/>
                <w:lang w:val="en-GB"/>
              </w:rPr>
            </w:pPr>
            <w:r w:rsidRPr="007E0E1C">
              <w:rPr>
                <w:rFonts w:asciiTheme="minorHAnsi" w:hAnsiTheme="minorHAnsi" w:cstheme="minorHAnsi"/>
                <w:b/>
                <w:bCs/>
                <w:sz w:val="20"/>
                <w:szCs w:val="20"/>
                <w:lang w:val="en-GB"/>
              </w:rPr>
              <w:lastRenderedPageBreak/>
              <w:t>16. Learner Experience and Outcomes</w:t>
            </w:r>
          </w:p>
        </w:tc>
      </w:tr>
      <w:tr w:rsidR="00ED6C6F" w:rsidRPr="007E0E1C" w14:paraId="325B88ED" w14:textId="77777777" w:rsidTr="00184926">
        <w:tc>
          <w:tcPr>
            <w:tcW w:w="2497" w:type="dxa"/>
          </w:tcPr>
          <w:p w14:paraId="6D420252" w14:textId="77777777" w:rsidR="00ED6C6F" w:rsidRPr="00184926" w:rsidRDefault="00ED6C6F" w:rsidP="00184926">
            <w:pPr>
              <w:spacing w:before="120" w:after="120" w:line="247" w:lineRule="auto"/>
              <w:ind w:left="0" w:right="516" w:firstLine="0"/>
              <w:rPr>
                <w:rFonts w:asciiTheme="minorHAnsi" w:hAnsiTheme="minorHAnsi" w:cstheme="minorHAnsi"/>
                <w:b/>
                <w:bCs/>
                <w:sz w:val="20"/>
                <w:szCs w:val="20"/>
                <w:lang w:val="en-GB"/>
              </w:rPr>
            </w:pPr>
            <w:r w:rsidRPr="00184926">
              <w:rPr>
                <w:rFonts w:asciiTheme="minorHAnsi" w:hAnsiTheme="minorHAnsi" w:cstheme="minorHAnsi"/>
                <w:b/>
                <w:bCs/>
                <w:sz w:val="20"/>
                <w:szCs w:val="20"/>
                <w:lang w:val="en-GB"/>
              </w:rPr>
              <w:t>Good Practice Statement</w:t>
            </w:r>
          </w:p>
        </w:tc>
        <w:tc>
          <w:tcPr>
            <w:tcW w:w="12190" w:type="dxa"/>
          </w:tcPr>
          <w:p w14:paraId="185FE832" w14:textId="77777777" w:rsidR="00ED6C6F" w:rsidRPr="007E0E1C" w:rsidRDefault="00ED6C6F" w:rsidP="00184926">
            <w:pPr>
              <w:spacing w:before="120" w:after="120" w:line="235" w:lineRule="auto"/>
              <w:ind w:left="0" w:right="391" w:firstLine="0"/>
              <w:rPr>
                <w:rFonts w:asciiTheme="minorHAnsi" w:hAnsiTheme="minorHAnsi" w:cstheme="minorHAnsi"/>
                <w:bCs/>
                <w:sz w:val="20"/>
                <w:szCs w:val="20"/>
                <w:lang w:val="en-GB"/>
              </w:rPr>
            </w:pPr>
            <w:r w:rsidRPr="001A3B9C">
              <w:rPr>
                <w:bCs/>
                <w:sz w:val="20"/>
                <w:szCs w:val="20"/>
                <w:lang w:val="en-GB"/>
              </w:rPr>
              <w:t>Consistent with fostering a culture of continuous improvement, the provider demonstrates a commitment to enhancing the learner experience supported by evidence and strives to promote student success, a strong sense of belonging and the ability and confidence to be effective online learners, contributing to enhanced career prospects and professional outcomes.</w:t>
            </w:r>
          </w:p>
        </w:tc>
      </w:tr>
      <w:tr w:rsidR="00ED6C6F" w:rsidRPr="007E0E1C" w14:paraId="39A218BC" w14:textId="77777777" w:rsidTr="00184926">
        <w:tc>
          <w:tcPr>
            <w:tcW w:w="2497" w:type="dxa"/>
          </w:tcPr>
          <w:p w14:paraId="7CA0BFDD" w14:textId="77777777" w:rsidR="00ED6C6F" w:rsidRPr="00184926" w:rsidRDefault="00ED6C6F" w:rsidP="00184926">
            <w:pPr>
              <w:spacing w:before="120" w:after="120" w:line="247" w:lineRule="auto"/>
              <w:ind w:left="0" w:right="516" w:firstLine="0"/>
              <w:rPr>
                <w:rFonts w:asciiTheme="minorHAnsi" w:hAnsiTheme="minorHAnsi" w:cstheme="minorHAnsi"/>
                <w:b/>
                <w:bCs/>
                <w:sz w:val="20"/>
                <w:szCs w:val="20"/>
                <w:lang w:val="en-GB"/>
              </w:rPr>
            </w:pPr>
            <w:r w:rsidRPr="00184926">
              <w:rPr>
                <w:rFonts w:asciiTheme="minorHAnsi" w:hAnsiTheme="minorHAnsi" w:cstheme="minorHAnsi"/>
                <w:b/>
                <w:bCs/>
                <w:sz w:val="20"/>
                <w:szCs w:val="20"/>
                <w:lang w:val="en-GB"/>
              </w:rPr>
              <w:t>Provider’s Evidence</w:t>
            </w:r>
          </w:p>
        </w:tc>
        <w:tc>
          <w:tcPr>
            <w:tcW w:w="12190" w:type="dxa"/>
          </w:tcPr>
          <w:p w14:paraId="3DED8456" w14:textId="77777777" w:rsidR="00ED6C6F" w:rsidRPr="007E0E1C" w:rsidRDefault="00ED6C6F" w:rsidP="00A51C53">
            <w:pPr>
              <w:spacing w:before="120" w:after="120" w:line="235" w:lineRule="auto"/>
              <w:ind w:left="0" w:right="391" w:firstLine="0"/>
              <w:rPr>
                <w:rFonts w:asciiTheme="minorHAnsi" w:hAnsiTheme="minorHAnsi" w:cstheme="minorHAnsi"/>
                <w:bCs/>
                <w:sz w:val="20"/>
                <w:szCs w:val="20"/>
                <w:lang w:val="en-GB"/>
              </w:rPr>
            </w:pPr>
          </w:p>
          <w:p w14:paraId="5BFAA53E" w14:textId="77777777" w:rsidR="00ED6C6F" w:rsidRPr="007E0E1C" w:rsidRDefault="00ED6C6F" w:rsidP="00184926">
            <w:pPr>
              <w:spacing w:before="120" w:after="120" w:line="235" w:lineRule="auto"/>
              <w:ind w:left="0" w:right="391" w:firstLine="0"/>
              <w:rPr>
                <w:rFonts w:asciiTheme="minorHAnsi" w:hAnsiTheme="minorHAnsi" w:cstheme="minorHAnsi"/>
                <w:bCs/>
                <w:sz w:val="20"/>
                <w:szCs w:val="20"/>
                <w:lang w:val="en-GB"/>
              </w:rPr>
            </w:pPr>
          </w:p>
        </w:tc>
      </w:tr>
    </w:tbl>
    <w:tbl>
      <w:tblPr>
        <w:tblStyle w:val="TableGrid0"/>
        <w:tblW w:w="14743" w:type="dxa"/>
        <w:tblInd w:w="-289" w:type="dxa"/>
        <w:tblLook w:val="04A0" w:firstRow="1" w:lastRow="0" w:firstColumn="1" w:lastColumn="0" w:noHBand="0" w:noVBand="1"/>
      </w:tblPr>
      <w:tblGrid>
        <w:gridCol w:w="3403"/>
        <w:gridCol w:w="5103"/>
        <w:gridCol w:w="6237"/>
      </w:tblGrid>
      <w:tr w:rsidR="00ED6C6F" w:rsidRPr="007C1D66" w14:paraId="572E1650" w14:textId="77777777" w:rsidTr="00184926">
        <w:trPr>
          <w:trHeight w:val="368"/>
        </w:trPr>
        <w:tc>
          <w:tcPr>
            <w:tcW w:w="14743" w:type="dxa"/>
            <w:gridSpan w:val="3"/>
            <w:shd w:val="clear" w:color="auto" w:fill="BDD6EE" w:themeFill="accent5" w:themeFillTint="66"/>
          </w:tcPr>
          <w:p w14:paraId="58EEAB4A" w14:textId="4FE68672" w:rsidR="00ED6C6F" w:rsidRPr="007E0E1C" w:rsidRDefault="00ED6C6F" w:rsidP="00ED6C6F">
            <w:pPr>
              <w:spacing w:before="120" w:after="120" w:line="240" w:lineRule="auto"/>
              <w:ind w:left="0" w:right="6" w:hanging="318"/>
              <w:jc w:val="center"/>
              <w:rPr>
                <w:rFonts w:asciiTheme="minorHAnsi" w:hAnsiTheme="minorHAnsi" w:cstheme="minorHAnsi"/>
                <w:b/>
                <w:bCs/>
                <w:lang w:val="en-GB"/>
              </w:rPr>
            </w:pPr>
            <w:r w:rsidRPr="007E0E1C">
              <w:rPr>
                <w:rFonts w:asciiTheme="minorHAnsi" w:hAnsiTheme="minorHAnsi" w:cstheme="minorHAnsi"/>
                <w:b/>
                <w:bCs/>
                <w:lang w:val="en-GB"/>
              </w:rPr>
              <w:t>OVERALL SELF-ASSESSMENT FOR LEARNER EXPERIENCE CONTEXT</w:t>
            </w:r>
            <w:r w:rsidR="00BD3FAB">
              <w:rPr>
                <w:rFonts w:asciiTheme="minorHAnsi" w:hAnsiTheme="minorHAnsi" w:cstheme="minorHAnsi"/>
                <w:b/>
                <w:bCs/>
                <w:lang w:val="en-GB"/>
              </w:rPr>
              <w:t xml:space="preserve">  </w:t>
            </w:r>
            <w:r w:rsidR="00BD3FAB" w:rsidRPr="00BD3FAB">
              <w:rPr>
                <w:sz w:val="20"/>
                <w:szCs w:val="20"/>
                <w:lang w:val="en-GB"/>
              </w:rPr>
              <w:t xml:space="preserve">(enter </w:t>
            </w:r>
            <w:r w:rsidR="00BD3FAB" w:rsidRPr="00BD3FAB">
              <w:rPr>
                <w:b/>
                <w:bCs/>
                <w:color w:val="FF0000"/>
                <w:sz w:val="24"/>
                <w:szCs w:val="24"/>
                <w:lang w:val="en-GB"/>
              </w:rPr>
              <w:sym w:font="Wingdings" w:char="F0FC"/>
            </w:r>
            <w:r w:rsidR="00BD3FAB" w:rsidRPr="00BD3FAB">
              <w:rPr>
                <w:sz w:val="20"/>
                <w:szCs w:val="20"/>
                <w:lang w:val="en-GB"/>
              </w:rPr>
              <w:t xml:space="preserve"> against relevant description)</w:t>
            </w:r>
          </w:p>
        </w:tc>
      </w:tr>
      <w:tr w:rsidR="00ED6C6F" w:rsidRPr="007C1D66" w14:paraId="482C9C34" w14:textId="77777777" w:rsidTr="00184926">
        <w:trPr>
          <w:trHeight w:val="368"/>
        </w:trPr>
        <w:tc>
          <w:tcPr>
            <w:tcW w:w="3403" w:type="dxa"/>
            <w:shd w:val="clear" w:color="auto" w:fill="auto"/>
          </w:tcPr>
          <w:p w14:paraId="1E1AF280" w14:textId="77777777" w:rsidR="00ED6C6F" w:rsidRPr="007C1D66" w:rsidRDefault="00ED6C6F" w:rsidP="00ED6C6F">
            <w:pPr>
              <w:spacing w:before="120" w:after="120" w:line="240" w:lineRule="auto"/>
              <w:ind w:left="0" w:right="6" w:hanging="318"/>
              <w:jc w:val="center"/>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Emerging</w:t>
            </w:r>
          </w:p>
        </w:tc>
        <w:tc>
          <w:tcPr>
            <w:tcW w:w="5103" w:type="dxa"/>
            <w:shd w:val="clear" w:color="auto" w:fill="auto"/>
          </w:tcPr>
          <w:p w14:paraId="0AD5E082" w14:textId="77777777" w:rsidR="00ED6C6F" w:rsidRPr="007C1D66" w:rsidRDefault="00ED6C6F" w:rsidP="00ED6C6F">
            <w:pPr>
              <w:spacing w:before="120" w:after="120" w:line="240" w:lineRule="auto"/>
              <w:ind w:left="0" w:right="6" w:hanging="318"/>
              <w:jc w:val="center"/>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   </w:t>
            </w:r>
            <w:r w:rsidRPr="007C1D66">
              <w:rPr>
                <w:rFonts w:asciiTheme="minorHAnsi" w:hAnsiTheme="minorHAnsi" w:cstheme="minorHAnsi"/>
                <w:b/>
                <w:bCs/>
                <w:sz w:val="21"/>
                <w:szCs w:val="21"/>
                <w:lang w:val="en-GB"/>
              </w:rPr>
              <w:t>Developing</w:t>
            </w:r>
          </w:p>
        </w:tc>
        <w:tc>
          <w:tcPr>
            <w:tcW w:w="6237" w:type="dxa"/>
            <w:shd w:val="clear" w:color="auto" w:fill="auto"/>
          </w:tcPr>
          <w:p w14:paraId="4A12A40E" w14:textId="77777777" w:rsidR="00ED6C6F" w:rsidRPr="007C1D66" w:rsidRDefault="00ED6C6F" w:rsidP="00ED6C6F">
            <w:pPr>
              <w:spacing w:before="120" w:after="120" w:line="240" w:lineRule="auto"/>
              <w:ind w:left="0" w:right="6" w:hanging="318"/>
              <w:jc w:val="center"/>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Mature</w:t>
            </w:r>
          </w:p>
        </w:tc>
      </w:tr>
      <w:tr w:rsidR="00BD3FAB" w:rsidRPr="007C1D66" w14:paraId="24266DC9" w14:textId="77777777" w:rsidTr="00B21618">
        <w:trPr>
          <w:trHeight w:val="368"/>
        </w:trPr>
        <w:tc>
          <w:tcPr>
            <w:tcW w:w="14743" w:type="dxa"/>
            <w:gridSpan w:val="3"/>
            <w:shd w:val="clear" w:color="auto" w:fill="auto"/>
          </w:tcPr>
          <w:p w14:paraId="313816BD" w14:textId="77777777" w:rsidR="00BD3FAB" w:rsidRDefault="00BD3FAB" w:rsidP="00BD3FAB">
            <w:pPr>
              <w:spacing w:before="120" w:after="120" w:line="240" w:lineRule="auto"/>
              <w:ind w:left="0" w:right="6" w:firstLine="0"/>
              <w:rPr>
                <w:rFonts w:asciiTheme="minorHAnsi" w:hAnsiTheme="minorHAnsi" w:cstheme="minorHAnsi"/>
                <w:sz w:val="21"/>
                <w:szCs w:val="21"/>
                <w:lang w:val="en-GB"/>
              </w:rPr>
            </w:pPr>
            <w:r w:rsidRPr="00BD3FAB">
              <w:rPr>
                <w:rFonts w:asciiTheme="minorHAnsi" w:hAnsiTheme="minorHAnsi" w:cstheme="minorHAnsi"/>
                <w:b/>
                <w:bCs/>
                <w:sz w:val="21"/>
                <w:szCs w:val="21"/>
                <w:lang w:val="en-GB"/>
              </w:rPr>
              <w:t>Gaps to be filled</w:t>
            </w:r>
            <w:r>
              <w:rPr>
                <w:rFonts w:asciiTheme="minorHAnsi" w:hAnsiTheme="minorHAnsi" w:cstheme="minorHAnsi"/>
                <w:sz w:val="21"/>
                <w:szCs w:val="21"/>
                <w:lang w:val="en-GB"/>
              </w:rPr>
              <w:t>:</w:t>
            </w:r>
          </w:p>
          <w:p w14:paraId="0A4F1FEC" w14:textId="77777777" w:rsidR="00BD3FAB" w:rsidRDefault="00BD3FAB" w:rsidP="00BD3FAB">
            <w:pPr>
              <w:spacing w:before="120" w:after="120" w:line="240" w:lineRule="auto"/>
              <w:ind w:left="0" w:right="6" w:firstLine="0"/>
              <w:rPr>
                <w:rFonts w:asciiTheme="minorHAnsi" w:hAnsiTheme="minorHAnsi" w:cstheme="minorHAnsi"/>
                <w:sz w:val="21"/>
                <w:szCs w:val="21"/>
                <w:lang w:val="en-GB"/>
              </w:rPr>
            </w:pPr>
          </w:p>
          <w:p w14:paraId="3F530177" w14:textId="77777777" w:rsidR="00BD3FAB" w:rsidRDefault="00BD3FAB" w:rsidP="00BD3FAB">
            <w:pPr>
              <w:spacing w:before="120" w:after="120" w:line="240" w:lineRule="auto"/>
              <w:ind w:left="0" w:right="6" w:firstLine="0"/>
              <w:rPr>
                <w:rFonts w:asciiTheme="minorHAnsi" w:hAnsiTheme="minorHAnsi" w:cstheme="minorHAnsi"/>
                <w:sz w:val="21"/>
                <w:szCs w:val="21"/>
                <w:lang w:val="en-GB"/>
              </w:rPr>
            </w:pPr>
          </w:p>
          <w:p w14:paraId="791134E0" w14:textId="1B6B73D2" w:rsidR="00BD3FAB" w:rsidRPr="00BD3FAB" w:rsidRDefault="00BD3FAB" w:rsidP="00BD3FAB">
            <w:pPr>
              <w:spacing w:before="120" w:after="120" w:line="240" w:lineRule="auto"/>
              <w:ind w:left="0" w:right="6" w:firstLine="0"/>
              <w:rPr>
                <w:rFonts w:asciiTheme="minorHAnsi" w:hAnsiTheme="minorHAnsi" w:cstheme="minorHAnsi"/>
                <w:sz w:val="21"/>
                <w:szCs w:val="21"/>
                <w:lang w:val="en-GB"/>
              </w:rPr>
            </w:pPr>
          </w:p>
        </w:tc>
      </w:tr>
    </w:tbl>
    <w:p w14:paraId="6CB18BBF" w14:textId="77777777" w:rsidR="00ED6C6F" w:rsidRDefault="00ED6C6F" w:rsidP="00ED6C6F">
      <w:pPr>
        <w:spacing w:after="0" w:line="259" w:lineRule="auto"/>
        <w:ind w:left="0" w:right="10885" w:firstLine="0"/>
        <w:rPr>
          <w:rFonts w:asciiTheme="minorHAnsi" w:hAnsiTheme="minorHAnsi" w:cstheme="minorHAnsi"/>
          <w:sz w:val="21"/>
          <w:szCs w:val="21"/>
          <w:lang w:val="en-GB"/>
        </w:rPr>
      </w:pPr>
    </w:p>
    <w:p w14:paraId="724B1B37" w14:textId="77777777" w:rsidR="00ED6C6F" w:rsidRDefault="00ED6C6F" w:rsidP="00ED6C6F">
      <w:pPr>
        <w:spacing w:after="160" w:line="259" w:lineRule="auto"/>
        <w:ind w:left="0" w:right="0" w:firstLine="0"/>
        <w:rPr>
          <w:rFonts w:asciiTheme="minorHAnsi" w:hAnsiTheme="minorHAnsi" w:cstheme="minorHAnsi"/>
          <w:sz w:val="21"/>
          <w:szCs w:val="21"/>
          <w:lang w:val="en-GB"/>
        </w:rPr>
      </w:pPr>
      <w:r>
        <w:rPr>
          <w:rFonts w:asciiTheme="minorHAnsi" w:hAnsiTheme="minorHAnsi" w:cstheme="minorHAnsi"/>
          <w:sz w:val="21"/>
          <w:szCs w:val="21"/>
          <w:lang w:val="en-GB"/>
        </w:rPr>
        <w:br w:type="page"/>
      </w:r>
    </w:p>
    <w:tbl>
      <w:tblPr>
        <w:tblStyle w:val="TableGrid0"/>
        <w:tblW w:w="14459" w:type="dxa"/>
        <w:tblInd w:w="-5" w:type="dxa"/>
        <w:tblLook w:val="04A0" w:firstRow="1" w:lastRow="0" w:firstColumn="1" w:lastColumn="0" w:noHBand="0" w:noVBand="1"/>
      </w:tblPr>
      <w:tblGrid>
        <w:gridCol w:w="2269"/>
        <w:gridCol w:w="8221"/>
        <w:gridCol w:w="3969"/>
      </w:tblGrid>
      <w:tr w:rsidR="00ED6C6F" w:rsidRPr="007C1D66" w14:paraId="4F9A26B0" w14:textId="77777777" w:rsidTr="00ED6C6F">
        <w:trPr>
          <w:trHeight w:val="368"/>
        </w:trPr>
        <w:tc>
          <w:tcPr>
            <w:tcW w:w="14459" w:type="dxa"/>
            <w:gridSpan w:val="3"/>
            <w:shd w:val="clear" w:color="auto" w:fill="BDD6EE" w:themeFill="accent5" w:themeFillTint="66"/>
          </w:tcPr>
          <w:p w14:paraId="54256713" w14:textId="77777777" w:rsidR="00ED6C6F" w:rsidRDefault="00ED6C6F" w:rsidP="00ED6C6F">
            <w:pPr>
              <w:spacing w:before="60" w:after="60" w:line="240" w:lineRule="auto"/>
              <w:ind w:left="0" w:right="6" w:firstLine="0"/>
              <w:jc w:val="center"/>
              <w:rPr>
                <w:rFonts w:asciiTheme="minorHAnsi" w:hAnsiTheme="minorHAnsi" w:cstheme="minorHAnsi"/>
                <w:b/>
                <w:bCs/>
                <w:lang w:val="en-GB"/>
              </w:rPr>
            </w:pPr>
            <w:r w:rsidRPr="007E0E1C">
              <w:rPr>
                <w:rFonts w:asciiTheme="minorHAnsi" w:hAnsiTheme="minorHAnsi" w:cstheme="minorHAnsi"/>
                <w:b/>
                <w:bCs/>
                <w:lang w:val="en-GB"/>
              </w:rPr>
              <w:lastRenderedPageBreak/>
              <w:t xml:space="preserve">SUMMARY OF </w:t>
            </w:r>
            <w:r>
              <w:rPr>
                <w:rFonts w:asciiTheme="minorHAnsi" w:hAnsiTheme="minorHAnsi" w:cstheme="minorHAnsi"/>
                <w:b/>
                <w:bCs/>
                <w:lang w:val="en-GB"/>
              </w:rPr>
              <w:t xml:space="preserve">QUALITY ASSURANCE </w:t>
            </w:r>
          </w:p>
          <w:p w14:paraId="39F037D1" w14:textId="77777777" w:rsidR="00ED6C6F" w:rsidRPr="007E0E1C" w:rsidRDefault="00ED6C6F" w:rsidP="00ED6C6F">
            <w:pPr>
              <w:spacing w:before="60" w:after="60" w:line="240" w:lineRule="auto"/>
              <w:ind w:left="0" w:right="6" w:firstLine="0"/>
              <w:jc w:val="center"/>
              <w:rPr>
                <w:rFonts w:asciiTheme="minorHAnsi" w:hAnsiTheme="minorHAnsi" w:cstheme="minorHAnsi"/>
                <w:b/>
                <w:bCs/>
                <w:lang w:val="en-GB"/>
              </w:rPr>
            </w:pPr>
            <w:r>
              <w:rPr>
                <w:rFonts w:asciiTheme="minorHAnsi" w:hAnsiTheme="minorHAnsi" w:cstheme="minorHAnsi"/>
                <w:b/>
                <w:bCs/>
                <w:lang w:val="en-GB"/>
              </w:rPr>
              <w:t xml:space="preserve">PROVISION </w:t>
            </w:r>
            <w:r w:rsidRPr="007E0E1C">
              <w:rPr>
                <w:rFonts w:asciiTheme="minorHAnsi" w:hAnsiTheme="minorHAnsi" w:cstheme="minorHAnsi"/>
                <w:b/>
                <w:bCs/>
                <w:lang w:val="en-GB"/>
              </w:rPr>
              <w:t>ACROSS CONTEXTS</w:t>
            </w:r>
          </w:p>
        </w:tc>
      </w:tr>
      <w:tr w:rsidR="00ED6C6F" w:rsidRPr="007C1D66" w14:paraId="36A5F96C" w14:textId="77777777" w:rsidTr="00ED6C6F">
        <w:trPr>
          <w:trHeight w:val="368"/>
        </w:trPr>
        <w:tc>
          <w:tcPr>
            <w:tcW w:w="2269" w:type="dxa"/>
            <w:shd w:val="clear" w:color="auto" w:fill="DEEAF6" w:themeFill="accent5" w:themeFillTint="33"/>
          </w:tcPr>
          <w:p w14:paraId="67CB1F01" w14:textId="77777777" w:rsidR="00ED6C6F" w:rsidRPr="007C1D66" w:rsidRDefault="00ED6C6F" w:rsidP="00ED6C6F">
            <w:pPr>
              <w:spacing w:before="120" w:after="120" w:line="240" w:lineRule="auto"/>
              <w:ind w:left="0" w:right="6" w:hanging="318"/>
              <w:jc w:val="center"/>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Context</w:t>
            </w:r>
          </w:p>
        </w:tc>
        <w:tc>
          <w:tcPr>
            <w:tcW w:w="8221" w:type="dxa"/>
            <w:shd w:val="clear" w:color="auto" w:fill="DEEAF6" w:themeFill="accent5" w:themeFillTint="33"/>
          </w:tcPr>
          <w:p w14:paraId="767146DF" w14:textId="77777777" w:rsidR="00ED6C6F" w:rsidRPr="007C1D66" w:rsidRDefault="00ED6C6F" w:rsidP="00ED6C6F">
            <w:pPr>
              <w:spacing w:before="120" w:after="120" w:line="240" w:lineRule="auto"/>
              <w:ind w:left="0" w:right="6" w:hanging="6"/>
              <w:jc w:val="center"/>
              <w:rPr>
                <w:rFonts w:asciiTheme="minorHAnsi" w:hAnsiTheme="minorHAnsi" w:cstheme="minorHAnsi"/>
                <w:b/>
                <w:bCs/>
                <w:sz w:val="21"/>
                <w:szCs w:val="21"/>
                <w:lang w:val="en-GB"/>
              </w:rPr>
            </w:pPr>
            <w:r>
              <w:rPr>
                <w:rFonts w:asciiTheme="minorHAnsi" w:hAnsiTheme="minorHAnsi" w:cstheme="minorHAnsi"/>
                <w:b/>
                <w:bCs/>
                <w:sz w:val="21"/>
                <w:szCs w:val="21"/>
                <w:lang w:val="en-GB"/>
              </w:rPr>
              <w:t>Summary Statement</w:t>
            </w:r>
          </w:p>
        </w:tc>
        <w:tc>
          <w:tcPr>
            <w:tcW w:w="3969" w:type="dxa"/>
            <w:shd w:val="clear" w:color="auto" w:fill="DEEAF6" w:themeFill="accent5" w:themeFillTint="33"/>
          </w:tcPr>
          <w:p w14:paraId="59604D0F" w14:textId="77777777" w:rsidR="00ED6C6F" w:rsidRDefault="00ED6C6F" w:rsidP="00ED6C6F">
            <w:pPr>
              <w:spacing w:before="120" w:after="120" w:line="240" w:lineRule="auto"/>
              <w:ind w:left="0" w:right="6" w:hanging="318"/>
              <w:jc w:val="center"/>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Status of Development</w:t>
            </w:r>
          </w:p>
          <w:p w14:paraId="72B8CD39" w14:textId="12C6D904" w:rsidR="00131BFA" w:rsidRPr="00131BFA" w:rsidRDefault="00131BFA" w:rsidP="00131BFA">
            <w:pPr>
              <w:spacing w:before="120" w:after="120" w:line="240" w:lineRule="auto"/>
              <w:ind w:left="0" w:right="6" w:firstLine="0"/>
              <w:jc w:val="center"/>
              <w:rPr>
                <w:rFonts w:asciiTheme="minorHAnsi" w:hAnsiTheme="minorHAnsi" w:cstheme="minorHAnsi"/>
                <w:sz w:val="21"/>
                <w:szCs w:val="21"/>
                <w:lang w:val="en-GB"/>
              </w:rPr>
            </w:pPr>
            <w:r w:rsidRPr="00131BFA">
              <w:rPr>
                <w:rFonts w:asciiTheme="minorHAnsi" w:hAnsiTheme="minorHAnsi" w:cstheme="minorHAnsi"/>
                <w:sz w:val="21"/>
                <w:szCs w:val="21"/>
                <w:lang w:val="en-GB"/>
              </w:rPr>
              <w:t>(Choose one of Emerging, Developing, Mature)</w:t>
            </w:r>
          </w:p>
        </w:tc>
      </w:tr>
      <w:tr w:rsidR="00ED6C6F" w:rsidRPr="007C1D66" w14:paraId="2001D00D" w14:textId="77777777" w:rsidTr="00ED6C6F">
        <w:tc>
          <w:tcPr>
            <w:tcW w:w="2269" w:type="dxa"/>
            <w:tcBorders>
              <w:top w:val="nil"/>
              <w:bottom w:val="single" w:sz="4" w:space="0" w:color="auto"/>
            </w:tcBorders>
            <w:shd w:val="clear" w:color="auto" w:fill="auto"/>
          </w:tcPr>
          <w:p w14:paraId="185E6580" w14:textId="77777777" w:rsidR="00ED6C6F" w:rsidRPr="007C1D66" w:rsidRDefault="00ED6C6F" w:rsidP="00ED6C6F">
            <w:pPr>
              <w:spacing w:before="120" w:after="120" w:line="240" w:lineRule="auto"/>
              <w:ind w:left="0" w:right="7" w:firstLine="0"/>
              <w:rPr>
                <w:rFonts w:asciiTheme="minorHAnsi" w:hAnsiTheme="minorHAnsi" w:cstheme="minorHAnsi"/>
                <w:sz w:val="21"/>
                <w:szCs w:val="21"/>
                <w:lang w:val="en-GB"/>
              </w:rPr>
            </w:pPr>
            <w:r w:rsidRPr="007C1D66">
              <w:rPr>
                <w:rFonts w:asciiTheme="minorHAnsi" w:hAnsiTheme="minorHAnsi" w:cstheme="minorHAnsi"/>
                <w:sz w:val="21"/>
                <w:szCs w:val="21"/>
                <w:lang w:val="en-GB"/>
              </w:rPr>
              <w:t>Organisational</w:t>
            </w:r>
          </w:p>
        </w:tc>
        <w:tc>
          <w:tcPr>
            <w:tcW w:w="8221" w:type="dxa"/>
            <w:tcBorders>
              <w:top w:val="nil"/>
              <w:bottom w:val="single" w:sz="4" w:space="0" w:color="auto"/>
            </w:tcBorders>
            <w:shd w:val="clear" w:color="auto" w:fill="auto"/>
          </w:tcPr>
          <w:p w14:paraId="78689AFD" w14:textId="77777777" w:rsidR="00ED6C6F" w:rsidRPr="007C1D66" w:rsidRDefault="00ED6C6F" w:rsidP="00131BFA">
            <w:pPr>
              <w:spacing w:before="120" w:after="120" w:line="240" w:lineRule="auto"/>
              <w:ind w:left="0" w:right="7" w:firstLine="0"/>
              <w:rPr>
                <w:rFonts w:asciiTheme="minorHAnsi" w:hAnsiTheme="minorHAnsi" w:cstheme="minorHAnsi"/>
                <w:sz w:val="21"/>
                <w:szCs w:val="21"/>
                <w:lang w:val="en-GB"/>
              </w:rPr>
            </w:pPr>
          </w:p>
        </w:tc>
        <w:tc>
          <w:tcPr>
            <w:tcW w:w="3969" w:type="dxa"/>
            <w:tcBorders>
              <w:top w:val="nil"/>
              <w:bottom w:val="single" w:sz="4" w:space="0" w:color="auto"/>
            </w:tcBorders>
            <w:shd w:val="clear" w:color="auto" w:fill="auto"/>
          </w:tcPr>
          <w:p w14:paraId="3666C78A" w14:textId="78B52E04" w:rsidR="00ED6C6F" w:rsidRPr="007C1D66" w:rsidRDefault="00ED6C6F" w:rsidP="00ED6C6F">
            <w:pPr>
              <w:spacing w:before="120" w:after="120" w:line="240" w:lineRule="auto"/>
              <w:ind w:left="0" w:right="7" w:firstLine="0"/>
              <w:rPr>
                <w:rFonts w:asciiTheme="minorHAnsi" w:hAnsiTheme="minorHAnsi" w:cstheme="minorHAnsi"/>
                <w:sz w:val="21"/>
                <w:szCs w:val="21"/>
                <w:lang w:val="en-GB"/>
              </w:rPr>
            </w:pPr>
          </w:p>
        </w:tc>
      </w:tr>
      <w:tr w:rsidR="00ED6C6F" w:rsidRPr="007C1D66" w14:paraId="6E5CBC75" w14:textId="77777777" w:rsidTr="00ED6C6F">
        <w:tc>
          <w:tcPr>
            <w:tcW w:w="2269" w:type="dxa"/>
            <w:tcBorders>
              <w:top w:val="single" w:sz="4" w:space="0" w:color="auto"/>
              <w:bottom w:val="single" w:sz="4" w:space="0" w:color="auto"/>
            </w:tcBorders>
            <w:shd w:val="clear" w:color="auto" w:fill="auto"/>
          </w:tcPr>
          <w:p w14:paraId="0097512D" w14:textId="77777777" w:rsidR="00ED6C6F" w:rsidRPr="007C1D66" w:rsidRDefault="00ED6C6F" w:rsidP="00ED6C6F">
            <w:pPr>
              <w:spacing w:before="120" w:after="120" w:line="240" w:lineRule="auto"/>
              <w:ind w:left="0" w:right="7" w:firstLine="0"/>
              <w:rPr>
                <w:rFonts w:asciiTheme="minorHAnsi" w:hAnsiTheme="minorHAnsi" w:cstheme="minorHAnsi"/>
                <w:sz w:val="21"/>
                <w:szCs w:val="21"/>
                <w:lang w:val="en-GB"/>
              </w:rPr>
            </w:pPr>
            <w:r w:rsidRPr="007C1D66">
              <w:rPr>
                <w:rFonts w:asciiTheme="minorHAnsi" w:hAnsiTheme="minorHAnsi" w:cstheme="minorHAnsi"/>
                <w:sz w:val="21"/>
                <w:szCs w:val="21"/>
                <w:lang w:val="en-GB"/>
              </w:rPr>
              <w:t>Programme</w:t>
            </w:r>
          </w:p>
        </w:tc>
        <w:tc>
          <w:tcPr>
            <w:tcW w:w="8221" w:type="dxa"/>
            <w:tcBorders>
              <w:top w:val="single" w:sz="4" w:space="0" w:color="auto"/>
              <w:bottom w:val="single" w:sz="4" w:space="0" w:color="auto"/>
            </w:tcBorders>
            <w:shd w:val="clear" w:color="auto" w:fill="auto"/>
          </w:tcPr>
          <w:p w14:paraId="4811E5A4" w14:textId="77777777" w:rsidR="00ED6C6F" w:rsidRPr="007C1D66" w:rsidRDefault="00ED6C6F" w:rsidP="00131BFA">
            <w:pPr>
              <w:spacing w:before="120" w:after="120" w:line="240" w:lineRule="auto"/>
              <w:ind w:left="0" w:right="7" w:firstLine="0"/>
              <w:rPr>
                <w:rFonts w:asciiTheme="minorHAnsi" w:hAnsiTheme="minorHAnsi" w:cstheme="minorHAnsi"/>
                <w:sz w:val="21"/>
                <w:szCs w:val="21"/>
                <w:lang w:val="en-GB"/>
              </w:rPr>
            </w:pPr>
          </w:p>
        </w:tc>
        <w:tc>
          <w:tcPr>
            <w:tcW w:w="3969" w:type="dxa"/>
            <w:tcBorders>
              <w:top w:val="single" w:sz="4" w:space="0" w:color="auto"/>
              <w:bottom w:val="single" w:sz="4" w:space="0" w:color="auto"/>
            </w:tcBorders>
            <w:shd w:val="clear" w:color="auto" w:fill="auto"/>
          </w:tcPr>
          <w:p w14:paraId="2ED2F70F" w14:textId="71AC4AC6" w:rsidR="00ED6C6F" w:rsidRPr="007C1D66" w:rsidRDefault="00ED6C6F" w:rsidP="00ED6C6F">
            <w:pPr>
              <w:spacing w:before="120" w:after="120" w:line="240" w:lineRule="auto"/>
              <w:ind w:left="0" w:right="7" w:firstLine="0"/>
              <w:rPr>
                <w:rFonts w:asciiTheme="minorHAnsi" w:hAnsiTheme="minorHAnsi" w:cstheme="minorHAnsi"/>
                <w:sz w:val="21"/>
                <w:szCs w:val="21"/>
                <w:lang w:val="en-GB"/>
              </w:rPr>
            </w:pPr>
          </w:p>
        </w:tc>
      </w:tr>
      <w:tr w:rsidR="00ED6C6F" w:rsidRPr="007C1D66" w14:paraId="48BE2328" w14:textId="77777777" w:rsidTr="00ED6C6F">
        <w:tc>
          <w:tcPr>
            <w:tcW w:w="2269" w:type="dxa"/>
            <w:tcBorders>
              <w:top w:val="single" w:sz="4" w:space="0" w:color="auto"/>
              <w:bottom w:val="single" w:sz="4" w:space="0" w:color="auto"/>
            </w:tcBorders>
            <w:shd w:val="clear" w:color="auto" w:fill="auto"/>
          </w:tcPr>
          <w:p w14:paraId="76B6D5AD" w14:textId="77777777" w:rsidR="00ED6C6F" w:rsidRPr="007C1D66" w:rsidRDefault="00ED6C6F" w:rsidP="00ED6C6F">
            <w:pPr>
              <w:spacing w:before="120" w:after="120" w:line="240" w:lineRule="auto"/>
              <w:ind w:left="0" w:right="7" w:firstLine="0"/>
              <w:rPr>
                <w:rFonts w:asciiTheme="minorHAnsi" w:hAnsiTheme="minorHAnsi" w:cstheme="minorHAnsi"/>
                <w:sz w:val="21"/>
                <w:szCs w:val="21"/>
                <w:lang w:val="en-GB"/>
              </w:rPr>
            </w:pPr>
            <w:r w:rsidRPr="007C1D66">
              <w:rPr>
                <w:rFonts w:asciiTheme="minorHAnsi" w:hAnsiTheme="minorHAnsi" w:cstheme="minorHAnsi"/>
                <w:sz w:val="21"/>
                <w:szCs w:val="21"/>
                <w:lang w:val="en-GB"/>
              </w:rPr>
              <w:t>Learner Experience</w:t>
            </w:r>
          </w:p>
        </w:tc>
        <w:tc>
          <w:tcPr>
            <w:tcW w:w="8221" w:type="dxa"/>
            <w:tcBorders>
              <w:top w:val="single" w:sz="4" w:space="0" w:color="auto"/>
              <w:bottom w:val="single" w:sz="4" w:space="0" w:color="auto"/>
            </w:tcBorders>
            <w:shd w:val="clear" w:color="auto" w:fill="auto"/>
          </w:tcPr>
          <w:p w14:paraId="5F3053BE" w14:textId="77777777" w:rsidR="00ED6C6F" w:rsidRPr="007C1D66" w:rsidRDefault="00ED6C6F" w:rsidP="00131BFA">
            <w:pPr>
              <w:spacing w:before="120" w:after="120" w:line="240" w:lineRule="auto"/>
              <w:ind w:left="0" w:right="7" w:firstLine="0"/>
              <w:rPr>
                <w:rFonts w:asciiTheme="minorHAnsi" w:hAnsiTheme="minorHAnsi" w:cstheme="minorHAnsi"/>
                <w:sz w:val="21"/>
                <w:szCs w:val="21"/>
                <w:lang w:val="en-GB"/>
              </w:rPr>
            </w:pPr>
          </w:p>
        </w:tc>
        <w:tc>
          <w:tcPr>
            <w:tcW w:w="3969" w:type="dxa"/>
            <w:tcBorders>
              <w:top w:val="single" w:sz="4" w:space="0" w:color="auto"/>
              <w:bottom w:val="single" w:sz="4" w:space="0" w:color="auto"/>
            </w:tcBorders>
            <w:shd w:val="clear" w:color="auto" w:fill="auto"/>
          </w:tcPr>
          <w:p w14:paraId="75FEBDA4" w14:textId="12F91F85" w:rsidR="00ED6C6F" w:rsidRPr="007C1D66" w:rsidRDefault="00ED6C6F" w:rsidP="00ED6C6F">
            <w:pPr>
              <w:spacing w:before="120" w:after="120" w:line="240" w:lineRule="auto"/>
              <w:ind w:left="0" w:right="7" w:firstLine="0"/>
              <w:jc w:val="center"/>
              <w:rPr>
                <w:rFonts w:asciiTheme="minorHAnsi" w:hAnsiTheme="minorHAnsi" w:cstheme="minorHAnsi"/>
                <w:sz w:val="21"/>
                <w:szCs w:val="21"/>
                <w:lang w:val="en-GB"/>
              </w:rPr>
            </w:pPr>
          </w:p>
        </w:tc>
      </w:tr>
      <w:tr w:rsidR="00ED6C6F" w:rsidRPr="007C1D66" w14:paraId="37BAD62A" w14:textId="77777777" w:rsidTr="00ED6C6F">
        <w:trPr>
          <w:trHeight w:val="829"/>
        </w:trPr>
        <w:tc>
          <w:tcPr>
            <w:tcW w:w="2269" w:type="dxa"/>
            <w:tcBorders>
              <w:top w:val="single" w:sz="4" w:space="0" w:color="auto"/>
            </w:tcBorders>
            <w:shd w:val="clear" w:color="auto" w:fill="auto"/>
          </w:tcPr>
          <w:p w14:paraId="553B572B" w14:textId="04DF55D6" w:rsidR="00ED6C6F" w:rsidRDefault="00ED6C6F" w:rsidP="00ED6C6F">
            <w:pPr>
              <w:spacing w:before="60" w:after="60" w:line="240" w:lineRule="auto"/>
              <w:ind w:left="0" w:right="6" w:firstLine="0"/>
              <w:rPr>
                <w:rFonts w:asciiTheme="minorHAnsi" w:hAnsiTheme="minorHAnsi" w:cstheme="minorHAnsi"/>
                <w:b/>
                <w:bCs/>
                <w:sz w:val="21"/>
                <w:szCs w:val="21"/>
                <w:lang w:val="en-GB"/>
              </w:rPr>
            </w:pPr>
            <w:r w:rsidRPr="007C1D66">
              <w:rPr>
                <w:rFonts w:asciiTheme="minorHAnsi" w:hAnsiTheme="minorHAnsi" w:cstheme="minorHAnsi"/>
                <w:b/>
                <w:bCs/>
                <w:sz w:val="21"/>
                <w:szCs w:val="21"/>
                <w:lang w:val="en-GB"/>
              </w:rPr>
              <w:t>Overall Summary</w:t>
            </w:r>
          </w:p>
          <w:p w14:paraId="608BF00D" w14:textId="77777777" w:rsidR="00ED6C6F" w:rsidRPr="00211DD9" w:rsidRDefault="00ED6C6F" w:rsidP="00ED6C6F">
            <w:pPr>
              <w:spacing w:before="60" w:after="60" w:line="240" w:lineRule="auto"/>
              <w:ind w:left="0" w:right="6" w:firstLine="0"/>
              <w:rPr>
                <w:rFonts w:asciiTheme="minorHAnsi" w:hAnsiTheme="minorHAnsi" w:cstheme="minorHAnsi"/>
                <w:b/>
                <w:bCs/>
                <w:sz w:val="10"/>
                <w:szCs w:val="10"/>
                <w:lang w:val="en-GB"/>
              </w:rPr>
            </w:pPr>
          </w:p>
        </w:tc>
        <w:tc>
          <w:tcPr>
            <w:tcW w:w="8221" w:type="dxa"/>
            <w:tcBorders>
              <w:top w:val="single" w:sz="4" w:space="0" w:color="auto"/>
            </w:tcBorders>
            <w:shd w:val="clear" w:color="auto" w:fill="auto"/>
          </w:tcPr>
          <w:p w14:paraId="7384FDFC" w14:textId="77777777" w:rsidR="00ED6C6F" w:rsidRDefault="00ED6C6F" w:rsidP="00131BFA">
            <w:pPr>
              <w:spacing w:before="120" w:after="120" w:line="240" w:lineRule="auto"/>
              <w:ind w:left="0" w:right="7" w:firstLine="0"/>
              <w:rPr>
                <w:rFonts w:asciiTheme="minorHAnsi" w:hAnsiTheme="minorHAnsi" w:cstheme="minorHAnsi"/>
                <w:sz w:val="21"/>
                <w:szCs w:val="21"/>
                <w:lang w:val="en-GB"/>
              </w:rPr>
            </w:pPr>
          </w:p>
          <w:p w14:paraId="50108F87" w14:textId="77777777" w:rsidR="00ED6C6F" w:rsidRPr="007C1D66" w:rsidRDefault="00ED6C6F" w:rsidP="00131BFA">
            <w:pPr>
              <w:spacing w:before="120" w:after="120" w:line="240" w:lineRule="auto"/>
              <w:ind w:left="0" w:right="7" w:firstLine="0"/>
              <w:rPr>
                <w:rFonts w:asciiTheme="minorHAnsi" w:hAnsiTheme="minorHAnsi" w:cstheme="minorHAnsi"/>
                <w:sz w:val="21"/>
                <w:szCs w:val="21"/>
                <w:lang w:val="en-GB"/>
              </w:rPr>
            </w:pPr>
          </w:p>
        </w:tc>
        <w:tc>
          <w:tcPr>
            <w:tcW w:w="3969" w:type="dxa"/>
            <w:tcBorders>
              <w:top w:val="single" w:sz="4" w:space="0" w:color="auto"/>
            </w:tcBorders>
            <w:shd w:val="clear" w:color="auto" w:fill="auto"/>
          </w:tcPr>
          <w:p w14:paraId="26737E23" w14:textId="7B891417" w:rsidR="00ED6C6F" w:rsidRPr="007C1D66" w:rsidRDefault="00ED6C6F" w:rsidP="00ED6C6F">
            <w:pPr>
              <w:spacing w:before="60" w:after="60" w:line="240" w:lineRule="auto"/>
              <w:ind w:left="0" w:right="6" w:firstLine="0"/>
              <w:jc w:val="center"/>
              <w:rPr>
                <w:rFonts w:asciiTheme="minorHAnsi" w:hAnsiTheme="minorHAnsi" w:cstheme="minorHAnsi"/>
                <w:b/>
                <w:bCs/>
                <w:sz w:val="21"/>
                <w:szCs w:val="21"/>
                <w:lang w:val="en-GB"/>
              </w:rPr>
            </w:pPr>
          </w:p>
        </w:tc>
      </w:tr>
    </w:tbl>
    <w:p w14:paraId="15B6CDBF" w14:textId="77777777" w:rsidR="00ED6C6F" w:rsidRPr="007C1D66" w:rsidRDefault="00ED6C6F" w:rsidP="00ED6C6F">
      <w:pPr>
        <w:spacing w:after="0" w:line="259" w:lineRule="auto"/>
        <w:ind w:left="0" w:right="10885" w:firstLine="0"/>
        <w:rPr>
          <w:rFonts w:asciiTheme="minorHAnsi" w:hAnsiTheme="minorHAnsi" w:cstheme="minorHAnsi"/>
          <w:sz w:val="21"/>
          <w:szCs w:val="21"/>
          <w:lang w:val="en-GB"/>
        </w:rPr>
      </w:pPr>
    </w:p>
    <w:p w14:paraId="20FFCC9D" w14:textId="77777777" w:rsidR="00ED6C6F" w:rsidRDefault="00ED6C6F" w:rsidP="00ED6C6F">
      <w:pPr>
        <w:spacing w:after="160" w:line="259" w:lineRule="auto"/>
        <w:ind w:left="0" w:right="0" w:firstLine="0"/>
        <w:rPr>
          <w:lang w:val="en-GB"/>
        </w:rPr>
      </w:pPr>
      <w:r>
        <w:rPr>
          <w:lang w:val="en-GB"/>
        </w:rPr>
        <w:br w:type="page"/>
      </w:r>
    </w:p>
    <w:p w14:paraId="51D0E94D" w14:textId="77777777" w:rsidR="00ED6C6F" w:rsidRDefault="00ED6C6F" w:rsidP="00ED6C6F">
      <w:pPr>
        <w:spacing w:after="0" w:line="259" w:lineRule="auto"/>
        <w:ind w:left="0" w:right="10885" w:firstLine="0"/>
        <w:rPr>
          <w:lang w:val="en-GB"/>
        </w:rPr>
      </w:pPr>
    </w:p>
    <w:tbl>
      <w:tblPr>
        <w:tblStyle w:val="TableGrid0"/>
        <w:tblpPr w:vertAnchor="text" w:tblpY="1"/>
        <w:tblOverlap w:val="never"/>
        <w:tblW w:w="0" w:type="auto"/>
        <w:tblLook w:val="04A0" w:firstRow="1" w:lastRow="0" w:firstColumn="1" w:lastColumn="0" w:noHBand="0" w:noVBand="1"/>
      </w:tblPr>
      <w:tblGrid>
        <w:gridCol w:w="2112"/>
        <w:gridCol w:w="5964"/>
        <w:gridCol w:w="5872"/>
      </w:tblGrid>
      <w:tr w:rsidR="00ED6C6F" w:rsidRPr="007C1D66" w14:paraId="451699AB" w14:textId="77777777" w:rsidTr="00614DDD">
        <w:trPr>
          <w:tblHeader/>
        </w:trPr>
        <w:tc>
          <w:tcPr>
            <w:tcW w:w="14526" w:type="dxa"/>
            <w:gridSpan w:val="3"/>
            <w:shd w:val="clear" w:color="auto" w:fill="BDD6EE" w:themeFill="accent5" w:themeFillTint="66"/>
          </w:tcPr>
          <w:p w14:paraId="569300F1" w14:textId="77777777" w:rsidR="00ED6C6F" w:rsidRPr="007E0E1C" w:rsidRDefault="00ED6C6F" w:rsidP="00A76BED">
            <w:pPr>
              <w:spacing w:before="60" w:after="60" w:line="247" w:lineRule="auto"/>
              <w:ind w:left="0" w:right="516" w:firstLine="0"/>
              <w:jc w:val="center"/>
              <w:rPr>
                <w:rFonts w:asciiTheme="minorHAnsi" w:hAnsiTheme="minorHAnsi" w:cstheme="minorHAnsi"/>
                <w:b/>
                <w:bCs/>
                <w:lang w:val="en-GB"/>
              </w:rPr>
            </w:pPr>
            <w:r w:rsidRPr="007E0E1C">
              <w:rPr>
                <w:rFonts w:asciiTheme="minorHAnsi" w:hAnsiTheme="minorHAnsi" w:cstheme="minorHAnsi"/>
                <w:b/>
                <w:bCs/>
                <w:lang w:val="en-GB"/>
              </w:rPr>
              <w:t>OVERALL SELF-ASSESSMENT OF SPECIFIC QUALITY CONSIDERATIONS</w:t>
            </w:r>
          </w:p>
          <w:p w14:paraId="609812D0" w14:textId="77777777" w:rsidR="00ED6C6F" w:rsidRDefault="00ED6C6F" w:rsidP="00A76BED">
            <w:pPr>
              <w:spacing w:before="60" w:after="60" w:line="247" w:lineRule="auto"/>
              <w:ind w:left="0" w:right="516" w:firstLine="0"/>
              <w:jc w:val="center"/>
              <w:rPr>
                <w:rFonts w:asciiTheme="minorHAnsi" w:hAnsiTheme="minorHAnsi" w:cstheme="minorHAnsi"/>
                <w:b/>
                <w:bCs/>
                <w:sz w:val="21"/>
                <w:szCs w:val="21"/>
                <w:lang w:val="en-GB"/>
              </w:rPr>
            </w:pPr>
            <w:r w:rsidRPr="007E0E1C">
              <w:rPr>
                <w:rFonts w:asciiTheme="minorHAnsi" w:hAnsiTheme="minorHAnsi" w:cstheme="minorHAnsi"/>
                <w:b/>
                <w:bCs/>
                <w:lang w:val="en-GB"/>
              </w:rPr>
              <w:t>FOR FULLY ONLINE LEARNING PROGRAMMES</w:t>
            </w:r>
          </w:p>
        </w:tc>
      </w:tr>
      <w:tr w:rsidR="00C00287" w:rsidRPr="007C1D66" w14:paraId="6FE51456" w14:textId="77777777" w:rsidTr="00A76BED">
        <w:tc>
          <w:tcPr>
            <w:tcW w:w="2127" w:type="dxa"/>
            <w:tcBorders>
              <w:bottom w:val="single" w:sz="4" w:space="0" w:color="auto"/>
            </w:tcBorders>
          </w:tcPr>
          <w:p w14:paraId="0F120260" w14:textId="77777777" w:rsidR="00ED6C6F" w:rsidRPr="00A73581" w:rsidRDefault="00ED6C6F" w:rsidP="00A76BED">
            <w:pPr>
              <w:tabs>
                <w:tab w:val="center" w:pos="2916"/>
              </w:tabs>
              <w:spacing w:before="120" w:after="120" w:line="240" w:lineRule="auto"/>
              <w:ind w:left="0" w:righ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Domain</w:t>
            </w:r>
          </w:p>
        </w:tc>
        <w:tc>
          <w:tcPr>
            <w:tcW w:w="6237" w:type="dxa"/>
          </w:tcPr>
          <w:p w14:paraId="40F1DAC4" w14:textId="77777777" w:rsidR="00ED6C6F" w:rsidRPr="00B65D6A" w:rsidRDefault="00ED6C6F" w:rsidP="00A76BED">
            <w:pPr>
              <w:spacing w:before="120" w:after="120" w:line="247" w:lineRule="auto"/>
              <w:ind w:left="0" w:right="85" w:hanging="11"/>
              <w:rPr>
                <w:rFonts w:asciiTheme="minorHAnsi" w:hAnsiTheme="minorHAnsi" w:cstheme="minorHAnsi"/>
                <w:b/>
                <w:bCs/>
                <w:sz w:val="21"/>
                <w:szCs w:val="21"/>
                <w:lang w:val="en-GB"/>
              </w:rPr>
            </w:pPr>
            <w:r w:rsidRPr="00B65D6A">
              <w:rPr>
                <w:rFonts w:asciiTheme="minorHAnsi" w:hAnsiTheme="minorHAnsi" w:cstheme="minorHAnsi"/>
                <w:b/>
                <w:bCs/>
                <w:sz w:val="21"/>
                <w:szCs w:val="21"/>
                <w:lang w:val="en-GB"/>
              </w:rPr>
              <w:t xml:space="preserve">Good </w:t>
            </w:r>
            <w:r>
              <w:rPr>
                <w:rFonts w:asciiTheme="minorHAnsi" w:hAnsiTheme="minorHAnsi" w:cstheme="minorHAnsi"/>
                <w:b/>
                <w:bCs/>
                <w:sz w:val="21"/>
                <w:szCs w:val="21"/>
                <w:lang w:val="en-GB"/>
              </w:rPr>
              <w:t>P</w:t>
            </w:r>
            <w:r w:rsidRPr="00B65D6A">
              <w:rPr>
                <w:rFonts w:asciiTheme="minorHAnsi" w:hAnsiTheme="minorHAnsi" w:cstheme="minorHAnsi"/>
                <w:b/>
                <w:bCs/>
                <w:sz w:val="21"/>
                <w:szCs w:val="21"/>
                <w:lang w:val="en-GB"/>
              </w:rPr>
              <w:t xml:space="preserve">ractice </w:t>
            </w:r>
            <w:r>
              <w:rPr>
                <w:rFonts w:asciiTheme="minorHAnsi" w:hAnsiTheme="minorHAnsi" w:cstheme="minorHAnsi"/>
                <w:b/>
                <w:bCs/>
                <w:sz w:val="21"/>
                <w:szCs w:val="21"/>
                <w:lang w:val="en-GB"/>
              </w:rPr>
              <w:t>I</w:t>
            </w:r>
            <w:r w:rsidRPr="00B65D6A">
              <w:rPr>
                <w:rFonts w:asciiTheme="minorHAnsi" w:hAnsiTheme="minorHAnsi" w:cstheme="minorHAnsi"/>
                <w:b/>
                <w:bCs/>
                <w:sz w:val="21"/>
                <w:szCs w:val="21"/>
                <w:lang w:val="en-GB"/>
              </w:rPr>
              <w:t>ndicator</w:t>
            </w:r>
          </w:p>
        </w:tc>
        <w:tc>
          <w:tcPr>
            <w:tcW w:w="6162" w:type="dxa"/>
          </w:tcPr>
          <w:p w14:paraId="19626C65" w14:textId="77777777" w:rsidR="00ED6C6F" w:rsidRPr="00B65D6A" w:rsidRDefault="00ED6C6F" w:rsidP="00A76BED">
            <w:pPr>
              <w:spacing w:before="120" w:after="120" w:line="247" w:lineRule="auto"/>
              <w:ind w:left="0" w:right="85" w:hanging="11"/>
              <w:rPr>
                <w:rFonts w:asciiTheme="minorHAnsi" w:hAnsiTheme="minorHAnsi" w:cstheme="minorHAnsi"/>
                <w:b/>
                <w:bCs/>
                <w:sz w:val="21"/>
                <w:szCs w:val="21"/>
                <w:lang w:val="en-GB"/>
              </w:rPr>
            </w:pPr>
            <w:r w:rsidRPr="00B65D6A">
              <w:rPr>
                <w:rFonts w:asciiTheme="minorHAnsi" w:hAnsiTheme="minorHAnsi" w:cstheme="minorHAnsi"/>
                <w:b/>
                <w:bCs/>
                <w:sz w:val="21"/>
                <w:szCs w:val="21"/>
                <w:lang w:val="en-GB"/>
              </w:rPr>
              <w:t>Evidence</w:t>
            </w:r>
            <w:r>
              <w:rPr>
                <w:rFonts w:asciiTheme="minorHAnsi" w:hAnsiTheme="minorHAnsi" w:cstheme="minorHAnsi"/>
                <w:b/>
                <w:bCs/>
                <w:sz w:val="21"/>
                <w:szCs w:val="21"/>
                <w:lang w:val="en-GB"/>
              </w:rPr>
              <w:t xml:space="preserve"> Statement</w:t>
            </w:r>
            <w:r w:rsidRPr="00B65D6A">
              <w:rPr>
                <w:rFonts w:asciiTheme="minorHAnsi" w:hAnsiTheme="minorHAnsi" w:cstheme="minorHAnsi"/>
                <w:b/>
                <w:bCs/>
                <w:sz w:val="21"/>
                <w:szCs w:val="21"/>
                <w:lang w:val="en-GB"/>
              </w:rPr>
              <w:t xml:space="preserve"> </w:t>
            </w:r>
          </w:p>
        </w:tc>
      </w:tr>
      <w:tr w:rsidR="00C00287" w:rsidRPr="007C1D66" w14:paraId="36064065" w14:textId="77777777" w:rsidTr="00A76BED">
        <w:tc>
          <w:tcPr>
            <w:tcW w:w="2127" w:type="dxa"/>
            <w:tcBorders>
              <w:bottom w:val="single" w:sz="4" w:space="0" w:color="auto"/>
            </w:tcBorders>
            <w:shd w:val="clear" w:color="auto" w:fill="auto"/>
          </w:tcPr>
          <w:p w14:paraId="424A298B" w14:textId="77777777" w:rsidR="00ED6C6F" w:rsidRPr="007E0E1C" w:rsidRDefault="00ED6C6F" w:rsidP="00A76BED">
            <w:pPr>
              <w:tabs>
                <w:tab w:val="center" w:pos="2916"/>
              </w:tabs>
              <w:spacing w:before="120" w:after="120" w:line="240" w:lineRule="auto"/>
              <w:ind w:left="0" w:right="0"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1. </w:t>
            </w:r>
            <w:r w:rsidRPr="007E0E1C">
              <w:rPr>
                <w:sz w:val="20"/>
                <w:szCs w:val="20"/>
                <w:lang w:val="en-GB"/>
              </w:rPr>
              <w:t>Strategy, Management, and Implementation Plans</w:t>
            </w:r>
          </w:p>
        </w:tc>
        <w:tc>
          <w:tcPr>
            <w:tcW w:w="6237" w:type="dxa"/>
            <w:tcBorders>
              <w:bottom w:val="single" w:sz="4" w:space="0" w:color="auto"/>
            </w:tcBorders>
          </w:tcPr>
          <w:p w14:paraId="32288E8A" w14:textId="77777777" w:rsidR="00ED6C6F" w:rsidRPr="007E0E1C" w:rsidRDefault="00ED6C6F" w:rsidP="00A76BED">
            <w:pPr>
              <w:spacing w:before="60" w:after="60" w:line="247" w:lineRule="auto"/>
              <w:ind w:left="0" w:right="85"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1.8 For fully online programmes, the contingency plan </w:t>
            </w:r>
            <w:r w:rsidRPr="007E0E1C">
              <w:rPr>
                <w:rFonts w:asciiTheme="minorHAnsi" w:hAnsiTheme="minorHAnsi" w:cstheme="minorHAnsi"/>
                <w:b/>
                <w:bCs/>
                <w:sz w:val="20"/>
                <w:szCs w:val="20"/>
                <w:lang w:val="en-GB"/>
              </w:rPr>
              <w:t>must</w:t>
            </w:r>
            <w:r w:rsidRPr="007E0E1C">
              <w:rPr>
                <w:rFonts w:asciiTheme="minorHAnsi" w:hAnsiTheme="minorHAnsi" w:cstheme="minorHAnsi"/>
                <w:sz w:val="20"/>
                <w:szCs w:val="20"/>
                <w:lang w:val="en-GB"/>
              </w:rPr>
              <w:t xml:space="preserve"> include consideration of digital channels outside of the provider’s normal infrastructure to ensure minimal disruption to teaching, learning and assessment for learners studying at a distance.</w:t>
            </w:r>
          </w:p>
        </w:tc>
        <w:tc>
          <w:tcPr>
            <w:tcW w:w="6162" w:type="dxa"/>
          </w:tcPr>
          <w:p w14:paraId="58F12431" w14:textId="77777777" w:rsidR="00ED6C6F" w:rsidRPr="007E0E1C" w:rsidRDefault="00ED6C6F" w:rsidP="00A76BED">
            <w:pPr>
              <w:spacing w:before="60" w:after="60" w:line="247" w:lineRule="auto"/>
              <w:ind w:left="0" w:right="85" w:firstLine="0"/>
              <w:rPr>
                <w:rFonts w:asciiTheme="minorHAnsi" w:hAnsiTheme="minorHAnsi" w:cstheme="minorHAnsi"/>
                <w:sz w:val="20"/>
                <w:szCs w:val="20"/>
                <w:lang w:val="en-GB"/>
              </w:rPr>
            </w:pPr>
          </w:p>
        </w:tc>
      </w:tr>
      <w:tr w:rsidR="00C00287" w:rsidRPr="007C1D66" w14:paraId="57FD41C2" w14:textId="77777777" w:rsidTr="00A76BED">
        <w:tc>
          <w:tcPr>
            <w:tcW w:w="2127" w:type="dxa"/>
          </w:tcPr>
          <w:p w14:paraId="28E13F4E" w14:textId="77777777" w:rsidR="00ED6C6F" w:rsidRPr="007E0E1C" w:rsidRDefault="00ED6C6F" w:rsidP="00A76BED">
            <w:pPr>
              <w:spacing w:before="120" w:after="120" w:line="247" w:lineRule="auto"/>
              <w:ind w:left="0" w:right="17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2. </w:t>
            </w:r>
            <w:r w:rsidRPr="007E0E1C">
              <w:rPr>
                <w:sz w:val="20"/>
                <w:szCs w:val="20"/>
                <w:lang w:val="en-GB"/>
              </w:rPr>
              <w:t>Policies, Regulations and Administrative Processes</w:t>
            </w:r>
          </w:p>
        </w:tc>
        <w:tc>
          <w:tcPr>
            <w:tcW w:w="6237" w:type="dxa"/>
            <w:shd w:val="clear" w:color="auto" w:fill="auto"/>
          </w:tcPr>
          <w:p w14:paraId="64465A4B" w14:textId="77777777" w:rsidR="00ED6C6F" w:rsidRPr="007E0E1C" w:rsidRDefault="00ED6C6F" w:rsidP="00A76BED">
            <w:pPr>
              <w:spacing w:before="120" w:after="120" w:line="247" w:lineRule="auto"/>
              <w:ind w:left="0" w:right="180"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2.6 </w:t>
            </w:r>
            <w:r w:rsidRPr="00EE6953">
              <w:rPr>
                <w:rFonts w:asciiTheme="minorHAnsi" w:hAnsiTheme="minorHAnsi" w:cstheme="minorHAnsi"/>
                <w:sz w:val="20"/>
                <w:szCs w:val="20"/>
                <w:lang w:val="en-GB"/>
              </w:rPr>
              <w:t xml:space="preserve">For fully online learning programmes with a different fee structure, an explicit fees policy and related processes </w:t>
            </w:r>
            <w:r w:rsidRPr="00EE6953">
              <w:rPr>
                <w:rFonts w:asciiTheme="minorHAnsi" w:hAnsiTheme="minorHAnsi" w:cstheme="minorHAnsi"/>
                <w:b/>
                <w:bCs/>
                <w:sz w:val="20"/>
                <w:szCs w:val="20"/>
                <w:lang w:val="en-GB"/>
              </w:rPr>
              <w:t>must</w:t>
            </w:r>
            <w:r w:rsidRPr="00EE6953">
              <w:rPr>
                <w:rFonts w:asciiTheme="minorHAnsi" w:hAnsiTheme="minorHAnsi" w:cstheme="minorHAnsi"/>
                <w:sz w:val="20"/>
                <w:szCs w:val="20"/>
                <w:lang w:val="en-GB"/>
              </w:rPr>
              <w:t xml:space="preserve"> be in place which identifies the types of services, procedures and payment arrangements for learners studying at a distance, including costs and refunds for Springboard+ courses, Special Purpose Awards, and transnational offerings.</w:t>
            </w:r>
          </w:p>
        </w:tc>
        <w:tc>
          <w:tcPr>
            <w:tcW w:w="6162" w:type="dxa"/>
          </w:tcPr>
          <w:p w14:paraId="7A02C99B" w14:textId="77777777" w:rsidR="00ED6C6F" w:rsidRPr="007E0E1C" w:rsidRDefault="00ED6C6F" w:rsidP="00A76BED">
            <w:pPr>
              <w:spacing w:before="120" w:after="120" w:line="247" w:lineRule="auto"/>
              <w:ind w:left="0" w:right="312" w:firstLine="0"/>
              <w:rPr>
                <w:color w:val="000000"/>
                <w:sz w:val="20"/>
                <w:szCs w:val="20"/>
                <w:lang w:val="en-GB"/>
              </w:rPr>
            </w:pPr>
          </w:p>
        </w:tc>
      </w:tr>
      <w:tr w:rsidR="00C00287" w:rsidRPr="007C1D66" w14:paraId="1EA86AEC" w14:textId="77777777" w:rsidTr="00A76BED">
        <w:tc>
          <w:tcPr>
            <w:tcW w:w="2127" w:type="dxa"/>
          </w:tcPr>
          <w:p w14:paraId="29D09275"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3. </w:t>
            </w:r>
            <w:r w:rsidRPr="007E0E1C">
              <w:rPr>
                <w:sz w:val="20"/>
                <w:szCs w:val="20"/>
                <w:lang w:val="en-GB"/>
              </w:rPr>
              <w:t>Finances, Infrastructure and Resources</w:t>
            </w:r>
            <w:r w:rsidRPr="007E0E1C">
              <w:rPr>
                <w:rFonts w:asciiTheme="minorHAnsi" w:hAnsiTheme="minorHAnsi" w:cstheme="minorHAnsi"/>
                <w:sz w:val="20"/>
                <w:szCs w:val="20"/>
                <w:lang w:val="en-GB"/>
              </w:rPr>
              <w:t xml:space="preserve"> </w:t>
            </w:r>
          </w:p>
        </w:tc>
        <w:tc>
          <w:tcPr>
            <w:tcW w:w="6237" w:type="dxa"/>
          </w:tcPr>
          <w:p w14:paraId="418F6A52" w14:textId="77777777" w:rsidR="00ED6C6F" w:rsidRPr="007E0E1C" w:rsidRDefault="00ED6C6F" w:rsidP="00A76BED">
            <w:pPr>
              <w:spacing w:before="120" w:after="120" w:line="235" w:lineRule="auto"/>
              <w:ind w:left="0" w:right="180" w:firstLine="0"/>
              <w:rPr>
                <w:rFonts w:asciiTheme="minorHAnsi" w:hAnsiTheme="minorHAnsi" w:cstheme="minorHAnsi"/>
                <w:bCs/>
                <w:sz w:val="20"/>
                <w:szCs w:val="20"/>
                <w:lang w:val="en-GB"/>
              </w:rPr>
            </w:pPr>
            <w:r w:rsidRPr="007E0E1C">
              <w:rPr>
                <w:rFonts w:asciiTheme="minorHAnsi" w:hAnsiTheme="minorHAnsi" w:cstheme="minorHAnsi"/>
                <w:bCs/>
                <w:sz w:val="20"/>
                <w:szCs w:val="20"/>
                <w:lang w:val="en-GB"/>
              </w:rPr>
              <w:t xml:space="preserve">3.10 </w:t>
            </w:r>
            <w:r w:rsidRPr="007E0E1C">
              <w:rPr>
                <w:rFonts w:asciiTheme="minorHAnsi" w:hAnsiTheme="minorHAnsi" w:cstheme="minorHAnsi"/>
                <w:sz w:val="20"/>
                <w:szCs w:val="20"/>
                <w:lang w:val="en-GB"/>
              </w:rPr>
              <w:t xml:space="preserve">For fully online learning programmes, </w:t>
            </w:r>
            <w:r w:rsidRPr="007E0E1C">
              <w:rPr>
                <w:sz w:val="20"/>
                <w:szCs w:val="20"/>
                <w:lang w:val="en-GB"/>
              </w:rPr>
              <w:t>l</w:t>
            </w:r>
            <w:r w:rsidRPr="007E0E1C">
              <w:rPr>
                <w:bCs/>
                <w:sz w:val="20"/>
                <w:szCs w:val="20"/>
                <w:lang w:val="en-GB"/>
              </w:rPr>
              <w:t xml:space="preserve">earners </w:t>
            </w:r>
            <w:r w:rsidRPr="007E0E1C">
              <w:rPr>
                <w:b/>
                <w:sz w:val="20"/>
                <w:szCs w:val="20"/>
                <w:lang w:val="en-GB"/>
              </w:rPr>
              <w:t xml:space="preserve">must </w:t>
            </w:r>
            <w:r w:rsidRPr="007E0E1C">
              <w:rPr>
                <w:bCs/>
                <w:sz w:val="20"/>
                <w:szCs w:val="20"/>
                <w:lang w:val="en-GB"/>
              </w:rPr>
              <w:t xml:space="preserve">be able to access remotely the provider’s </w:t>
            </w:r>
            <w:r w:rsidRPr="007E0E1C">
              <w:rPr>
                <w:rFonts w:asciiTheme="minorHAnsi" w:hAnsiTheme="minorHAnsi" w:cstheme="minorHAnsi"/>
                <w:color w:val="222222"/>
                <w:sz w:val="20"/>
                <w:szCs w:val="20"/>
                <w:lang w:val="en-GB"/>
              </w:rPr>
              <w:t>library, relevant electronic</w:t>
            </w:r>
            <w:r>
              <w:rPr>
                <w:rFonts w:asciiTheme="minorHAnsi" w:hAnsiTheme="minorHAnsi" w:cstheme="minorHAnsi"/>
                <w:color w:val="222222"/>
                <w:sz w:val="20"/>
                <w:szCs w:val="20"/>
                <w:lang w:val="en-GB"/>
              </w:rPr>
              <w:t xml:space="preserve"> </w:t>
            </w:r>
            <w:r w:rsidRPr="007E0E1C">
              <w:rPr>
                <w:rFonts w:asciiTheme="minorHAnsi" w:hAnsiTheme="minorHAnsi" w:cstheme="minorHAnsi"/>
                <w:color w:val="222222"/>
                <w:sz w:val="20"/>
                <w:szCs w:val="20"/>
                <w:lang w:val="en-GB"/>
              </w:rPr>
              <w:t>databases, and prescribed textbooks applicable to their programme of study.</w:t>
            </w:r>
          </w:p>
        </w:tc>
        <w:tc>
          <w:tcPr>
            <w:tcW w:w="6162" w:type="dxa"/>
          </w:tcPr>
          <w:p w14:paraId="35EEA122" w14:textId="77777777" w:rsidR="00ED6C6F" w:rsidRPr="007E0E1C" w:rsidRDefault="00ED6C6F" w:rsidP="00A76BED">
            <w:pPr>
              <w:spacing w:before="120" w:after="120" w:line="235" w:lineRule="auto"/>
              <w:ind w:left="0" w:right="391" w:hanging="284"/>
              <w:rPr>
                <w:rFonts w:asciiTheme="minorHAnsi" w:hAnsiTheme="minorHAnsi" w:cstheme="minorHAnsi"/>
                <w:bCs/>
                <w:sz w:val="20"/>
                <w:szCs w:val="20"/>
                <w:lang w:val="en-GB"/>
              </w:rPr>
            </w:pPr>
          </w:p>
        </w:tc>
      </w:tr>
      <w:tr w:rsidR="00C00287" w:rsidRPr="007C1D66" w14:paraId="0963D8AC" w14:textId="77777777" w:rsidTr="00A76BED">
        <w:tc>
          <w:tcPr>
            <w:tcW w:w="2127" w:type="dxa"/>
          </w:tcPr>
          <w:p w14:paraId="3E1AA3D8" w14:textId="77777777" w:rsidR="00ED6C6F" w:rsidRPr="007E0E1C" w:rsidRDefault="00ED6C6F" w:rsidP="00A76BED">
            <w:pPr>
              <w:spacing w:before="120" w:after="120" w:line="247" w:lineRule="auto"/>
              <w:ind w:left="0" w:right="17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4. </w:t>
            </w:r>
            <w:r w:rsidRPr="007E0E1C">
              <w:rPr>
                <w:sz w:val="20"/>
                <w:szCs w:val="20"/>
                <w:lang w:val="en-GB"/>
              </w:rPr>
              <w:t>Staff Training, Professional Development and Institutional Support</w:t>
            </w:r>
          </w:p>
        </w:tc>
        <w:tc>
          <w:tcPr>
            <w:tcW w:w="6237" w:type="dxa"/>
            <w:shd w:val="clear" w:color="auto" w:fill="auto"/>
          </w:tcPr>
          <w:p w14:paraId="1F0C7395" w14:textId="77777777" w:rsidR="00ED6C6F" w:rsidRPr="007E0E1C" w:rsidRDefault="00ED6C6F" w:rsidP="00A76BED">
            <w:pPr>
              <w:spacing w:before="120" w:after="120" w:line="247" w:lineRule="auto"/>
              <w:ind w:left="0" w:right="180"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 xml:space="preserve">4.5 For fully online learning programmes, staff </w:t>
            </w:r>
            <w:r w:rsidRPr="007E0E1C">
              <w:rPr>
                <w:rFonts w:asciiTheme="minorHAnsi" w:hAnsiTheme="minorHAnsi" w:cstheme="minorHAnsi"/>
                <w:b/>
                <w:bCs/>
                <w:sz w:val="20"/>
                <w:szCs w:val="20"/>
                <w:lang w:val="en-GB"/>
              </w:rPr>
              <w:t>must</w:t>
            </w:r>
            <w:r w:rsidRPr="007E0E1C">
              <w:rPr>
                <w:rFonts w:asciiTheme="minorHAnsi" w:hAnsiTheme="minorHAnsi" w:cstheme="minorHAnsi"/>
                <w:sz w:val="20"/>
                <w:szCs w:val="20"/>
                <w:lang w:val="en-GB"/>
              </w:rPr>
              <w:t xml:space="preserve"> either demonstrate previous experience of teaching online or participate in appropriate induction, training and professional development before they facilitate courses, and have access to ongoing support from more experienced colleagues.</w:t>
            </w:r>
          </w:p>
        </w:tc>
        <w:tc>
          <w:tcPr>
            <w:tcW w:w="6162" w:type="dxa"/>
          </w:tcPr>
          <w:p w14:paraId="3BBAD400" w14:textId="77777777" w:rsidR="00ED6C6F" w:rsidRPr="007E0E1C" w:rsidRDefault="00ED6C6F" w:rsidP="00A76BED">
            <w:pPr>
              <w:spacing w:before="120" w:after="120" w:line="247" w:lineRule="auto"/>
              <w:ind w:left="0" w:right="312" w:firstLine="0"/>
              <w:rPr>
                <w:rFonts w:asciiTheme="minorHAnsi" w:eastAsiaTheme="minorEastAsia" w:hAnsiTheme="minorHAnsi" w:cstheme="minorHAnsi"/>
                <w:color w:val="auto"/>
                <w:sz w:val="20"/>
                <w:szCs w:val="20"/>
                <w:lang w:val="en-GB"/>
              </w:rPr>
            </w:pPr>
          </w:p>
        </w:tc>
      </w:tr>
      <w:tr w:rsidR="00C00287" w:rsidRPr="007C1D66" w14:paraId="7E23DFD6" w14:textId="77777777" w:rsidTr="00A76BED">
        <w:tc>
          <w:tcPr>
            <w:tcW w:w="2127" w:type="dxa"/>
          </w:tcPr>
          <w:p w14:paraId="567BFBB3"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7. Programme Outcomes</w:t>
            </w:r>
          </w:p>
        </w:tc>
        <w:tc>
          <w:tcPr>
            <w:tcW w:w="6237" w:type="dxa"/>
          </w:tcPr>
          <w:p w14:paraId="6D73EB39" w14:textId="77777777" w:rsidR="00ED6C6F" w:rsidRPr="007E0E1C" w:rsidRDefault="00ED6C6F" w:rsidP="00A76BED">
            <w:pPr>
              <w:spacing w:before="120" w:after="120" w:line="235" w:lineRule="auto"/>
              <w:ind w:left="0" w:right="180" w:firstLine="0"/>
              <w:rPr>
                <w:rFonts w:asciiTheme="minorHAnsi" w:hAnsiTheme="minorHAnsi" w:cstheme="minorHAnsi"/>
                <w:bCs/>
                <w:sz w:val="20"/>
                <w:szCs w:val="20"/>
                <w:lang w:val="en-GB"/>
              </w:rPr>
            </w:pPr>
            <w:r w:rsidRPr="007E0E1C">
              <w:rPr>
                <w:rFonts w:asciiTheme="minorHAnsi" w:hAnsiTheme="minorHAnsi" w:cstheme="minorHAnsi"/>
                <w:bCs/>
                <w:sz w:val="20"/>
                <w:szCs w:val="20"/>
                <w:lang w:val="en-GB"/>
              </w:rPr>
              <w:t xml:space="preserve">7.2 </w:t>
            </w:r>
            <w:r w:rsidRPr="007E0E1C">
              <w:rPr>
                <w:bCs/>
                <w:sz w:val="20"/>
                <w:szCs w:val="20"/>
                <w:lang w:val="en-GB"/>
              </w:rPr>
              <w:t xml:space="preserve">For fully online programmes, the learning outcomes </w:t>
            </w:r>
            <w:r w:rsidRPr="007E0E1C">
              <w:rPr>
                <w:b/>
                <w:sz w:val="20"/>
                <w:szCs w:val="20"/>
                <w:lang w:val="en-GB"/>
              </w:rPr>
              <w:t>must</w:t>
            </w:r>
            <w:r w:rsidRPr="007E0E1C">
              <w:rPr>
                <w:bCs/>
                <w:sz w:val="20"/>
                <w:szCs w:val="20"/>
                <w:lang w:val="en-GB"/>
              </w:rPr>
              <w:t xml:space="preserve"> be achievable through this study mode where learners complete all their learning online with no compulsory requirement for on-site teaching or peer interaction.</w:t>
            </w:r>
          </w:p>
        </w:tc>
        <w:tc>
          <w:tcPr>
            <w:tcW w:w="6162" w:type="dxa"/>
          </w:tcPr>
          <w:p w14:paraId="1313EAD0" w14:textId="77777777" w:rsidR="00ED6C6F" w:rsidRPr="007E0E1C" w:rsidRDefault="00ED6C6F" w:rsidP="00A76BED">
            <w:pPr>
              <w:spacing w:before="120" w:after="120" w:line="235" w:lineRule="auto"/>
              <w:ind w:left="0" w:right="391" w:hanging="284"/>
              <w:rPr>
                <w:rFonts w:asciiTheme="minorHAnsi" w:hAnsiTheme="minorHAnsi" w:cstheme="minorHAnsi"/>
                <w:bCs/>
                <w:sz w:val="20"/>
                <w:szCs w:val="20"/>
                <w:lang w:val="en-GB"/>
              </w:rPr>
            </w:pPr>
          </w:p>
        </w:tc>
      </w:tr>
      <w:tr w:rsidR="00C00287" w:rsidRPr="007C1D66" w14:paraId="13E96BBE" w14:textId="77777777" w:rsidTr="00A76BED">
        <w:tc>
          <w:tcPr>
            <w:tcW w:w="2127" w:type="dxa"/>
            <w:vMerge w:val="restart"/>
          </w:tcPr>
          <w:p w14:paraId="414F1060"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lastRenderedPageBreak/>
              <w:t xml:space="preserve">8. </w:t>
            </w:r>
            <w:r w:rsidRPr="007E0E1C">
              <w:rPr>
                <w:sz w:val="20"/>
                <w:szCs w:val="20"/>
                <w:lang w:val="en-GB"/>
              </w:rPr>
              <w:t>Approval and Validation Processes</w:t>
            </w:r>
          </w:p>
        </w:tc>
        <w:tc>
          <w:tcPr>
            <w:tcW w:w="6237" w:type="dxa"/>
          </w:tcPr>
          <w:p w14:paraId="3953F5E1" w14:textId="77777777" w:rsidR="00ED6C6F" w:rsidRDefault="00ED6C6F" w:rsidP="00F969A5">
            <w:pPr>
              <w:spacing w:before="120" w:after="120" w:line="235" w:lineRule="auto"/>
              <w:ind w:left="0" w:right="180" w:firstLine="0"/>
              <w:rPr>
                <w:bCs/>
                <w:sz w:val="20"/>
                <w:szCs w:val="20"/>
                <w:lang w:val="en-GB"/>
              </w:rPr>
            </w:pPr>
            <w:r w:rsidRPr="007E0E1C">
              <w:rPr>
                <w:bCs/>
                <w:sz w:val="20"/>
                <w:szCs w:val="20"/>
                <w:lang w:val="en-GB"/>
              </w:rPr>
              <w:t xml:space="preserve">8.22 For fully online programmes, virtual office hours for learner consultations with teaching staff </w:t>
            </w:r>
            <w:r w:rsidRPr="007E0E1C">
              <w:rPr>
                <w:b/>
                <w:sz w:val="20"/>
                <w:szCs w:val="20"/>
                <w:lang w:val="en-GB"/>
              </w:rPr>
              <w:t>must</w:t>
            </w:r>
            <w:r w:rsidRPr="007E0E1C">
              <w:rPr>
                <w:bCs/>
                <w:sz w:val="20"/>
                <w:szCs w:val="20"/>
                <w:lang w:val="en-GB"/>
              </w:rPr>
              <w:t xml:space="preserve"> consider time zone differences when people are studying outside of Ireland.</w:t>
            </w:r>
          </w:p>
          <w:p w14:paraId="113401A1" w14:textId="00BDF208" w:rsidR="00BA3A9B" w:rsidRPr="007E0E1C" w:rsidRDefault="00BA3A9B" w:rsidP="00F969A5">
            <w:pPr>
              <w:spacing w:before="120" w:after="120" w:line="235" w:lineRule="auto"/>
              <w:ind w:left="0" w:right="180" w:firstLine="0"/>
              <w:rPr>
                <w:rFonts w:asciiTheme="minorHAnsi" w:hAnsiTheme="minorHAnsi" w:cstheme="minorHAnsi"/>
                <w:bCs/>
                <w:sz w:val="20"/>
                <w:szCs w:val="20"/>
                <w:lang w:val="en-GB"/>
              </w:rPr>
            </w:pPr>
            <w:r>
              <w:rPr>
                <w:bCs/>
                <w:sz w:val="20"/>
                <w:szCs w:val="20"/>
                <w:lang w:val="en-GB"/>
              </w:rPr>
              <w:t xml:space="preserve">Providers of fully online programmes must </w:t>
            </w:r>
            <w:r w:rsidR="00A9730C">
              <w:rPr>
                <w:bCs/>
                <w:sz w:val="20"/>
                <w:szCs w:val="20"/>
                <w:lang w:val="en-GB"/>
              </w:rPr>
              <w:t xml:space="preserve">investigate and </w:t>
            </w:r>
            <w:r>
              <w:rPr>
                <w:bCs/>
                <w:sz w:val="20"/>
                <w:szCs w:val="20"/>
                <w:lang w:val="en-GB"/>
              </w:rPr>
              <w:t xml:space="preserve">identify which countries </w:t>
            </w:r>
            <w:r w:rsidR="00A9730C">
              <w:rPr>
                <w:bCs/>
                <w:sz w:val="20"/>
                <w:szCs w:val="20"/>
                <w:lang w:val="en-GB"/>
              </w:rPr>
              <w:t xml:space="preserve">have contexts appropriate </w:t>
            </w:r>
            <w:r w:rsidR="00D77A73">
              <w:rPr>
                <w:bCs/>
                <w:sz w:val="20"/>
                <w:szCs w:val="20"/>
                <w:lang w:val="en-GB"/>
              </w:rPr>
              <w:t xml:space="preserve">for learners to participate in </w:t>
            </w:r>
            <w:r w:rsidR="00C00287">
              <w:rPr>
                <w:bCs/>
                <w:sz w:val="20"/>
                <w:szCs w:val="20"/>
                <w:lang w:val="en-GB"/>
              </w:rPr>
              <w:t xml:space="preserve">their </w:t>
            </w:r>
            <w:r w:rsidR="00D77A73">
              <w:rPr>
                <w:bCs/>
                <w:sz w:val="20"/>
                <w:szCs w:val="20"/>
                <w:lang w:val="en-GB"/>
              </w:rPr>
              <w:t>programmes and use Irish qualifications.</w:t>
            </w:r>
          </w:p>
        </w:tc>
        <w:tc>
          <w:tcPr>
            <w:tcW w:w="6162" w:type="dxa"/>
          </w:tcPr>
          <w:p w14:paraId="132F2D4C" w14:textId="77777777" w:rsidR="00ED6C6F" w:rsidRPr="007E0E1C" w:rsidRDefault="00ED6C6F" w:rsidP="00A76BED">
            <w:pPr>
              <w:spacing w:before="120" w:after="120" w:line="235" w:lineRule="auto"/>
              <w:ind w:left="0" w:right="391" w:firstLine="0"/>
              <w:rPr>
                <w:bCs/>
                <w:sz w:val="20"/>
                <w:szCs w:val="20"/>
                <w:lang w:val="en-GB"/>
              </w:rPr>
            </w:pPr>
          </w:p>
        </w:tc>
      </w:tr>
      <w:tr w:rsidR="00C00287" w:rsidRPr="007C1D66" w14:paraId="6B53BF20" w14:textId="77777777" w:rsidTr="00A76BED">
        <w:tc>
          <w:tcPr>
            <w:tcW w:w="2127" w:type="dxa"/>
            <w:vMerge/>
          </w:tcPr>
          <w:p w14:paraId="7CD71529" w14:textId="77777777" w:rsidR="00ED6C6F" w:rsidRPr="007E0E1C" w:rsidRDefault="00ED6C6F" w:rsidP="00A76BED">
            <w:pPr>
              <w:spacing w:before="120" w:after="120" w:line="247" w:lineRule="auto"/>
              <w:ind w:left="0" w:right="516" w:firstLine="0"/>
              <w:rPr>
                <w:rFonts w:asciiTheme="minorHAnsi" w:hAnsiTheme="minorHAnsi" w:cstheme="minorHAnsi"/>
                <w:b/>
                <w:bCs/>
                <w:sz w:val="20"/>
                <w:szCs w:val="20"/>
                <w:lang w:val="en-GB"/>
              </w:rPr>
            </w:pPr>
          </w:p>
        </w:tc>
        <w:tc>
          <w:tcPr>
            <w:tcW w:w="6237" w:type="dxa"/>
          </w:tcPr>
          <w:p w14:paraId="6253CE7D" w14:textId="77777777" w:rsidR="00ED6C6F" w:rsidRPr="007E0E1C" w:rsidRDefault="00ED6C6F" w:rsidP="00F969A5">
            <w:pPr>
              <w:spacing w:before="120" w:after="120" w:line="235" w:lineRule="auto"/>
              <w:ind w:left="0" w:right="180" w:firstLine="0"/>
              <w:rPr>
                <w:rFonts w:asciiTheme="minorHAnsi" w:hAnsiTheme="minorHAnsi" w:cstheme="minorHAnsi"/>
                <w:bCs/>
                <w:sz w:val="20"/>
                <w:szCs w:val="20"/>
                <w:lang w:val="en-GB"/>
              </w:rPr>
            </w:pPr>
            <w:r w:rsidRPr="007E0E1C">
              <w:rPr>
                <w:rFonts w:asciiTheme="minorHAnsi" w:hAnsiTheme="minorHAnsi" w:cstheme="minorHAnsi"/>
                <w:bCs/>
                <w:sz w:val="20"/>
                <w:szCs w:val="20"/>
                <w:lang w:val="en-GB"/>
              </w:rPr>
              <w:t xml:space="preserve">8.23 </w:t>
            </w:r>
            <w:r w:rsidRPr="007E0E1C">
              <w:rPr>
                <w:bCs/>
                <w:sz w:val="20"/>
                <w:szCs w:val="20"/>
                <w:lang w:val="en-GB"/>
              </w:rPr>
              <w:t xml:space="preserve">For fully online programmes, approval and validation processes </w:t>
            </w:r>
            <w:r w:rsidRPr="007E0E1C">
              <w:rPr>
                <w:b/>
                <w:sz w:val="20"/>
                <w:szCs w:val="20"/>
                <w:lang w:val="en-GB"/>
              </w:rPr>
              <w:t>must</w:t>
            </w:r>
            <w:r w:rsidRPr="007E0E1C">
              <w:rPr>
                <w:bCs/>
                <w:sz w:val="20"/>
                <w:szCs w:val="20"/>
                <w:lang w:val="en-GB"/>
              </w:rPr>
              <w:t xml:space="preserve"> describe specific strategies designed to foster a strong sense of belonging in the programme of study and institution at large to help reduce the risks of non-completion.</w:t>
            </w:r>
          </w:p>
        </w:tc>
        <w:tc>
          <w:tcPr>
            <w:tcW w:w="6162" w:type="dxa"/>
          </w:tcPr>
          <w:p w14:paraId="44257058" w14:textId="77777777" w:rsidR="00ED6C6F" w:rsidRPr="007E0E1C" w:rsidRDefault="00ED6C6F" w:rsidP="00A76BED">
            <w:pPr>
              <w:spacing w:before="120" w:after="120" w:line="235" w:lineRule="auto"/>
              <w:ind w:left="0" w:right="391" w:hanging="284"/>
              <w:rPr>
                <w:rFonts w:asciiTheme="minorHAnsi" w:hAnsiTheme="minorHAnsi" w:cstheme="minorHAnsi"/>
                <w:bCs/>
                <w:sz w:val="20"/>
                <w:szCs w:val="20"/>
                <w:lang w:val="en-GB"/>
              </w:rPr>
            </w:pPr>
          </w:p>
        </w:tc>
      </w:tr>
      <w:tr w:rsidR="00C00287" w:rsidRPr="007C1D66" w14:paraId="3DB36EC9" w14:textId="77777777" w:rsidTr="00A76BED">
        <w:tc>
          <w:tcPr>
            <w:tcW w:w="2127" w:type="dxa"/>
          </w:tcPr>
          <w:p w14:paraId="06D822B1"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9. Learning and Curriculum Design</w:t>
            </w:r>
          </w:p>
        </w:tc>
        <w:tc>
          <w:tcPr>
            <w:tcW w:w="6237" w:type="dxa"/>
          </w:tcPr>
          <w:p w14:paraId="2CB7A1B7" w14:textId="77777777" w:rsidR="00ED6C6F" w:rsidRPr="007E0E1C" w:rsidRDefault="00ED6C6F" w:rsidP="00F969A5">
            <w:pPr>
              <w:spacing w:before="120" w:after="120" w:line="235" w:lineRule="auto"/>
              <w:ind w:left="0" w:right="180" w:firstLine="0"/>
              <w:rPr>
                <w:rFonts w:asciiTheme="minorHAnsi" w:hAnsiTheme="minorHAnsi" w:cstheme="minorHAnsi"/>
                <w:bCs/>
                <w:sz w:val="20"/>
                <w:szCs w:val="20"/>
                <w:lang w:val="en-GB"/>
              </w:rPr>
            </w:pPr>
            <w:r w:rsidRPr="007E0E1C">
              <w:rPr>
                <w:bCs/>
                <w:sz w:val="20"/>
                <w:szCs w:val="20"/>
                <w:lang w:val="en-GB"/>
              </w:rPr>
              <w:t>9.4 For fully online programmes, t</w:t>
            </w:r>
            <w:r w:rsidRPr="007E0E1C">
              <w:rPr>
                <w:sz w:val="20"/>
                <w:szCs w:val="20"/>
                <w:lang w:val="en-GB"/>
              </w:rPr>
              <w:t xml:space="preserve">he curricula </w:t>
            </w:r>
            <w:r w:rsidRPr="007E0E1C">
              <w:rPr>
                <w:b/>
                <w:bCs/>
                <w:sz w:val="20"/>
                <w:szCs w:val="20"/>
                <w:lang w:val="en-GB"/>
              </w:rPr>
              <w:t>mus</w:t>
            </w:r>
            <w:r w:rsidRPr="007E0E1C">
              <w:rPr>
                <w:sz w:val="20"/>
                <w:szCs w:val="20"/>
                <w:lang w:val="en-GB"/>
              </w:rPr>
              <w:t xml:space="preserve">t give purposeful consideration of the most appropriate use and combination of </w:t>
            </w:r>
            <w:r w:rsidRPr="007E0E1C">
              <w:rPr>
                <w:bCs/>
                <w:sz w:val="20"/>
                <w:szCs w:val="20"/>
                <w:lang w:val="en-GB"/>
              </w:rPr>
              <w:t>synchronous and asynchronous online teaching methods to support high levels of interactivity.</w:t>
            </w:r>
          </w:p>
        </w:tc>
        <w:tc>
          <w:tcPr>
            <w:tcW w:w="6162" w:type="dxa"/>
          </w:tcPr>
          <w:p w14:paraId="1BC3B2EA" w14:textId="77777777" w:rsidR="00ED6C6F" w:rsidRPr="007E0E1C" w:rsidRDefault="00ED6C6F" w:rsidP="00A76BED">
            <w:pPr>
              <w:spacing w:before="120" w:after="120" w:line="235" w:lineRule="auto"/>
              <w:ind w:left="0" w:right="391" w:firstLine="0"/>
              <w:rPr>
                <w:bCs/>
                <w:sz w:val="20"/>
                <w:szCs w:val="20"/>
                <w:lang w:val="en-GB"/>
              </w:rPr>
            </w:pPr>
          </w:p>
        </w:tc>
      </w:tr>
      <w:tr w:rsidR="00C00287" w:rsidRPr="007C1D66" w14:paraId="7948C368" w14:textId="77777777" w:rsidTr="00A76BED">
        <w:tc>
          <w:tcPr>
            <w:tcW w:w="2127" w:type="dxa"/>
          </w:tcPr>
          <w:p w14:paraId="27ADDC34"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13. Thinking About Study</w:t>
            </w:r>
          </w:p>
        </w:tc>
        <w:tc>
          <w:tcPr>
            <w:tcW w:w="6237" w:type="dxa"/>
          </w:tcPr>
          <w:p w14:paraId="53E57FCC" w14:textId="77777777" w:rsidR="00ED6C6F" w:rsidRPr="007E0E1C" w:rsidRDefault="00ED6C6F" w:rsidP="00F969A5">
            <w:pPr>
              <w:spacing w:before="120" w:after="120" w:line="235" w:lineRule="auto"/>
              <w:ind w:left="0" w:right="180" w:firstLine="0"/>
              <w:rPr>
                <w:rFonts w:asciiTheme="minorHAnsi" w:hAnsiTheme="minorHAnsi" w:cstheme="minorHAnsi"/>
                <w:bCs/>
                <w:sz w:val="20"/>
                <w:szCs w:val="20"/>
                <w:lang w:val="en-GB"/>
              </w:rPr>
            </w:pPr>
            <w:r w:rsidRPr="007E0E1C">
              <w:rPr>
                <w:rFonts w:asciiTheme="minorHAnsi" w:hAnsiTheme="minorHAnsi" w:cstheme="minorHAnsi"/>
                <w:bCs/>
                <w:sz w:val="20"/>
                <w:szCs w:val="20"/>
                <w:lang w:val="en-GB"/>
              </w:rPr>
              <w:t xml:space="preserve">13.4 </w:t>
            </w:r>
            <w:r w:rsidRPr="007E0E1C">
              <w:rPr>
                <w:sz w:val="20"/>
                <w:szCs w:val="20"/>
                <w:lang w:val="en-GB"/>
              </w:rPr>
              <w:t xml:space="preserve">For fully online programmes, information </w:t>
            </w:r>
            <w:r w:rsidRPr="007E0E1C">
              <w:rPr>
                <w:b/>
                <w:bCs/>
                <w:sz w:val="20"/>
                <w:szCs w:val="20"/>
                <w:lang w:val="en-GB"/>
              </w:rPr>
              <w:t>must</w:t>
            </w:r>
            <w:r w:rsidRPr="007E0E1C">
              <w:rPr>
                <w:sz w:val="20"/>
                <w:szCs w:val="20"/>
                <w:lang w:val="en-GB"/>
              </w:rPr>
              <w:t xml:space="preserve"> be available on any mandatory attendance of live synchronous classes and whether learners can equivalently access onsite services such as the provider’s library, writing and/or mathematics support, etc. to help meet the programme learning outcomes.</w:t>
            </w:r>
          </w:p>
        </w:tc>
        <w:tc>
          <w:tcPr>
            <w:tcW w:w="6162" w:type="dxa"/>
          </w:tcPr>
          <w:p w14:paraId="266484D6" w14:textId="77777777" w:rsidR="00ED6C6F" w:rsidRPr="007E0E1C" w:rsidRDefault="00ED6C6F" w:rsidP="00A76BED">
            <w:pPr>
              <w:spacing w:before="120" w:after="120" w:line="235" w:lineRule="auto"/>
              <w:ind w:left="0" w:right="391" w:hanging="284"/>
              <w:rPr>
                <w:rFonts w:asciiTheme="minorHAnsi" w:hAnsiTheme="minorHAnsi" w:cstheme="minorHAnsi"/>
                <w:bCs/>
                <w:sz w:val="20"/>
                <w:szCs w:val="20"/>
                <w:lang w:val="en-GB"/>
              </w:rPr>
            </w:pPr>
          </w:p>
        </w:tc>
      </w:tr>
      <w:tr w:rsidR="00C00287" w:rsidRPr="007C1D66" w14:paraId="4C3B2B40" w14:textId="77777777" w:rsidTr="00A76BED">
        <w:tc>
          <w:tcPr>
            <w:tcW w:w="2127" w:type="dxa"/>
          </w:tcPr>
          <w:p w14:paraId="777D596D" w14:textId="77777777" w:rsidR="00ED6C6F" w:rsidRPr="007E0E1C" w:rsidRDefault="00ED6C6F" w:rsidP="00A76BED">
            <w:pPr>
              <w:spacing w:before="120" w:after="120" w:line="247" w:lineRule="auto"/>
              <w:ind w:left="0" w:right="516" w:firstLine="0"/>
              <w:rPr>
                <w:rFonts w:asciiTheme="minorHAnsi" w:hAnsiTheme="minorHAnsi" w:cstheme="minorHAnsi"/>
                <w:sz w:val="20"/>
                <w:szCs w:val="20"/>
                <w:lang w:val="en-GB"/>
              </w:rPr>
            </w:pPr>
            <w:r w:rsidRPr="007E0E1C">
              <w:rPr>
                <w:rFonts w:asciiTheme="minorHAnsi" w:hAnsiTheme="minorHAnsi" w:cstheme="minorHAnsi"/>
                <w:sz w:val="20"/>
                <w:szCs w:val="20"/>
                <w:lang w:val="en-GB"/>
              </w:rPr>
              <w:t>14. Learning Support and Development</w:t>
            </w:r>
          </w:p>
        </w:tc>
        <w:tc>
          <w:tcPr>
            <w:tcW w:w="6237" w:type="dxa"/>
          </w:tcPr>
          <w:p w14:paraId="1EDC9320" w14:textId="77777777" w:rsidR="00ED6C6F" w:rsidRPr="007E0E1C" w:rsidRDefault="00ED6C6F" w:rsidP="00F969A5">
            <w:pPr>
              <w:spacing w:before="120" w:after="120" w:line="235" w:lineRule="auto"/>
              <w:ind w:left="0" w:right="180" w:firstLine="0"/>
              <w:rPr>
                <w:rFonts w:asciiTheme="minorHAnsi" w:hAnsiTheme="minorHAnsi" w:cstheme="minorHAnsi"/>
                <w:bCs/>
                <w:sz w:val="20"/>
                <w:szCs w:val="20"/>
                <w:lang w:val="en-GB"/>
              </w:rPr>
            </w:pPr>
            <w:r w:rsidRPr="007E0E1C">
              <w:rPr>
                <w:rFonts w:asciiTheme="minorHAnsi" w:hAnsiTheme="minorHAnsi" w:cstheme="minorHAnsi"/>
                <w:bCs/>
                <w:sz w:val="20"/>
                <w:szCs w:val="20"/>
                <w:lang w:val="en-GB"/>
              </w:rPr>
              <w:t xml:space="preserve">14.3 </w:t>
            </w:r>
            <w:r w:rsidRPr="007E0E1C">
              <w:rPr>
                <w:bCs/>
                <w:sz w:val="20"/>
                <w:szCs w:val="20"/>
                <w:lang w:val="en-GB"/>
              </w:rPr>
              <w:t xml:space="preserve">For fully online programmes, there </w:t>
            </w:r>
            <w:r w:rsidRPr="007E0E1C">
              <w:rPr>
                <w:b/>
                <w:sz w:val="20"/>
                <w:szCs w:val="20"/>
                <w:lang w:val="en-GB"/>
              </w:rPr>
              <w:t xml:space="preserve">must </w:t>
            </w:r>
            <w:r w:rsidRPr="007E0E1C">
              <w:rPr>
                <w:bCs/>
                <w:sz w:val="20"/>
                <w:szCs w:val="20"/>
                <w:lang w:val="en-GB"/>
              </w:rPr>
              <w:t>be equivalency in the provision of l</w:t>
            </w:r>
            <w:r w:rsidRPr="007E0E1C">
              <w:rPr>
                <w:rFonts w:asciiTheme="minorHAnsi" w:eastAsiaTheme="minorEastAsia" w:hAnsiTheme="minorHAnsi" w:cstheme="minorHAnsi"/>
                <w:color w:val="auto"/>
                <w:sz w:val="20"/>
                <w:szCs w:val="20"/>
                <w:lang w:val="en-GB"/>
              </w:rPr>
              <w:t>earning support and development services</w:t>
            </w:r>
            <w:r w:rsidRPr="007E0E1C">
              <w:rPr>
                <w:bCs/>
                <w:sz w:val="20"/>
                <w:szCs w:val="20"/>
                <w:lang w:val="en-GB"/>
              </w:rPr>
              <w:t xml:space="preserve"> to ensure equity of access and that learners are not disadvantaged in meeting the learning outcomes from those studying through other modes.</w:t>
            </w:r>
          </w:p>
        </w:tc>
        <w:tc>
          <w:tcPr>
            <w:tcW w:w="6162" w:type="dxa"/>
          </w:tcPr>
          <w:p w14:paraId="0F04F517" w14:textId="77777777" w:rsidR="00ED6C6F" w:rsidRPr="007E0E1C" w:rsidRDefault="00ED6C6F" w:rsidP="00A76BED">
            <w:pPr>
              <w:spacing w:before="120" w:after="120" w:line="235" w:lineRule="auto"/>
              <w:ind w:left="0" w:right="391" w:hanging="284"/>
              <w:rPr>
                <w:rFonts w:asciiTheme="minorHAnsi" w:hAnsiTheme="minorHAnsi" w:cstheme="minorHAnsi"/>
                <w:bCs/>
                <w:sz w:val="20"/>
                <w:szCs w:val="20"/>
                <w:lang w:val="en-GB"/>
              </w:rPr>
            </w:pPr>
          </w:p>
        </w:tc>
      </w:tr>
    </w:tbl>
    <w:p w14:paraId="4F808DD0" w14:textId="77777777" w:rsidR="00F83D10" w:rsidRDefault="00F83D10" w:rsidP="00ED6C6F">
      <w:pPr>
        <w:ind w:left="0"/>
      </w:pPr>
    </w:p>
    <w:sectPr w:rsidR="00F83D10" w:rsidSect="00ED6C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4EC3" w14:textId="77777777" w:rsidR="00F97884" w:rsidRDefault="00F97884" w:rsidP="00F97884">
      <w:pPr>
        <w:spacing w:after="0" w:line="240" w:lineRule="auto"/>
      </w:pPr>
      <w:r>
        <w:separator/>
      </w:r>
    </w:p>
  </w:endnote>
  <w:endnote w:type="continuationSeparator" w:id="0">
    <w:p w14:paraId="755E10C7" w14:textId="77777777" w:rsidR="00F97884" w:rsidRDefault="00F97884" w:rsidP="00F9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8A6B8" w14:textId="77777777" w:rsidR="00F97884" w:rsidRDefault="00F97884" w:rsidP="00F97884">
      <w:pPr>
        <w:spacing w:after="0" w:line="240" w:lineRule="auto"/>
      </w:pPr>
      <w:r>
        <w:separator/>
      </w:r>
    </w:p>
  </w:footnote>
  <w:footnote w:type="continuationSeparator" w:id="0">
    <w:p w14:paraId="48275361" w14:textId="77777777" w:rsidR="00F97884" w:rsidRDefault="00F97884" w:rsidP="00F97884">
      <w:pPr>
        <w:spacing w:after="0" w:line="240" w:lineRule="auto"/>
      </w:pPr>
      <w:r>
        <w:continuationSeparator/>
      </w:r>
    </w:p>
  </w:footnote>
  <w:footnote w:id="1">
    <w:p w14:paraId="276E275C" w14:textId="77777777" w:rsidR="009D13CF" w:rsidRDefault="009D13CF" w:rsidP="009D13CF">
      <w:pPr>
        <w:pStyle w:val="FootnoteText"/>
        <w:ind w:left="0" w:right="208" w:hanging="11"/>
      </w:pPr>
      <w:r>
        <w:rPr>
          <w:rStyle w:val="FootnoteReference"/>
        </w:rPr>
        <w:footnoteRef/>
      </w:r>
      <w:r>
        <w:t xml:space="preserve"> A number of providers, already approved for blended learning, took part in a pilot validation of a fully online programme(s).  Those providers should tick both boxes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24D"/>
    <w:multiLevelType w:val="hybridMultilevel"/>
    <w:tmpl w:val="F51E4168"/>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 w15:restartNumberingAfterBreak="0">
    <w:nsid w:val="187C148E"/>
    <w:multiLevelType w:val="hybridMultilevel"/>
    <w:tmpl w:val="8CEA5352"/>
    <w:lvl w:ilvl="0" w:tplc="4836C79C">
      <w:start w:val="1"/>
      <w:numFmt w:val="decimal"/>
      <w:lvlText w:val="%1."/>
      <w:lvlJc w:val="left"/>
      <w:pPr>
        <w:ind w:left="360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E0531E"/>
    <w:multiLevelType w:val="hybridMultilevel"/>
    <w:tmpl w:val="CA8AB3FC"/>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 w15:restartNumberingAfterBreak="0">
    <w:nsid w:val="2F9648D4"/>
    <w:multiLevelType w:val="hybridMultilevel"/>
    <w:tmpl w:val="3EE6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F44F2D"/>
    <w:multiLevelType w:val="hybridMultilevel"/>
    <w:tmpl w:val="8AD2323E"/>
    <w:lvl w:ilvl="0" w:tplc="1809000F">
      <w:start w:val="1"/>
      <w:numFmt w:val="decimal"/>
      <w:lvlText w:val="%1."/>
      <w:lvlJc w:val="left"/>
      <w:pPr>
        <w:ind w:left="3645" w:hanging="360"/>
      </w:pPr>
    </w:lvl>
    <w:lvl w:ilvl="1" w:tplc="18090019" w:tentative="1">
      <w:start w:val="1"/>
      <w:numFmt w:val="lowerLetter"/>
      <w:lvlText w:val="%2."/>
      <w:lvlJc w:val="left"/>
      <w:pPr>
        <w:ind w:left="4365" w:hanging="360"/>
      </w:pPr>
    </w:lvl>
    <w:lvl w:ilvl="2" w:tplc="1809001B" w:tentative="1">
      <w:start w:val="1"/>
      <w:numFmt w:val="lowerRoman"/>
      <w:lvlText w:val="%3."/>
      <w:lvlJc w:val="right"/>
      <w:pPr>
        <w:ind w:left="5085" w:hanging="180"/>
      </w:pPr>
    </w:lvl>
    <w:lvl w:ilvl="3" w:tplc="1809000F" w:tentative="1">
      <w:start w:val="1"/>
      <w:numFmt w:val="decimal"/>
      <w:lvlText w:val="%4."/>
      <w:lvlJc w:val="left"/>
      <w:pPr>
        <w:ind w:left="5805" w:hanging="360"/>
      </w:pPr>
    </w:lvl>
    <w:lvl w:ilvl="4" w:tplc="18090019" w:tentative="1">
      <w:start w:val="1"/>
      <w:numFmt w:val="lowerLetter"/>
      <w:lvlText w:val="%5."/>
      <w:lvlJc w:val="left"/>
      <w:pPr>
        <w:ind w:left="6525" w:hanging="360"/>
      </w:pPr>
    </w:lvl>
    <w:lvl w:ilvl="5" w:tplc="1809001B" w:tentative="1">
      <w:start w:val="1"/>
      <w:numFmt w:val="lowerRoman"/>
      <w:lvlText w:val="%6."/>
      <w:lvlJc w:val="right"/>
      <w:pPr>
        <w:ind w:left="7245" w:hanging="180"/>
      </w:pPr>
    </w:lvl>
    <w:lvl w:ilvl="6" w:tplc="1809000F" w:tentative="1">
      <w:start w:val="1"/>
      <w:numFmt w:val="decimal"/>
      <w:lvlText w:val="%7."/>
      <w:lvlJc w:val="left"/>
      <w:pPr>
        <w:ind w:left="7965" w:hanging="360"/>
      </w:pPr>
    </w:lvl>
    <w:lvl w:ilvl="7" w:tplc="18090019" w:tentative="1">
      <w:start w:val="1"/>
      <w:numFmt w:val="lowerLetter"/>
      <w:lvlText w:val="%8."/>
      <w:lvlJc w:val="left"/>
      <w:pPr>
        <w:ind w:left="8685" w:hanging="360"/>
      </w:pPr>
    </w:lvl>
    <w:lvl w:ilvl="8" w:tplc="1809001B" w:tentative="1">
      <w:start w:val="1"/>
      <w:numFmt w:val="lowerRoman"/>
      <w:lvlText w:val="%9."/>
      <w:lvlJc w:val="right"/>
      <w:pPr>
        <w:ind w:left="9405" w:hanging="180"/>
      </w:pPr>
    </w:lvl>
  </w:abstractNum>
  <w:num w:numId="1" w16cid:durableId="784009905">
    <w:abstractNumId w:val="4"/>
  </w:num>
  <w:num w:numId="2" w16cid:durableId="289407339">
    <w:abstractNumId w:val="0"/>
  </w:num>
  <w:num w:numId="3" w16cid:durableId="1072385226">
    <w:abstractNumId w:val="2"/>
  </w:num>
  <w:num w:numId="4" w16cid:durableId="677735278">
    <w:abstractNumId w:val="1"/>
  </w:num>
  <w:num w:numId="5" w16cid:durableId="113136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F"/>
    <w:rsid w:val="00036591"/>
    <w:rsid w:val="000372FC"/>
    <w:rsid w:val="00082547"/>
    <w:rsid w:val="000832F9"/>
    <w:rsid w:val="000953F8"/>
    <w:rsid w:val="00096A3C"/>
    <w:rsid w:val="000A3C51"/>
    <w:rsid w:val="000B2219"/>
    <w:rsid w:val="000D7C6D"/>
    <w:rsid w:val="001270BC"/>
    <w:rsid w:val="00131BFA"/>
    <w:rsid w:val="00174FCE"/>
    <w:rsid w:val="00184926"/>
    <w:rsid w:val="001A140D"/>
    <w:rsid w:val="001A2E8E"/>
    <w:rsid w:val="001C7994"/>
    <w:rsid w:val="001D061A"/>
    <w:rsid w:val="001D34F6"/>
    <w:rsid w:val="001E0E36"/>
    <w:rsid w:val="001E1049"/>
    <w:rsid w:val="001F7225"/>
    <w:rsid w:val="00295B7F"/>
    <w:rsid w:val="002B15CB"/>
    <w:rsid w:val="002B6EA0"/>
    <w:rsid w:val="002C20D5"/>
    <w:rsid w:val="002F5311"/>
    <w:rsid w:val="0032797B"/>
    <w:rsid w:val="00343157"/>
    <w:rsid w:val="0035706B"/>
    <w:rsid w:val="003752D0"/>
    <w:rsid w:val="003F3DAE"/>
    <w:rsid w:val="00492B07"/>
    <w:rsid w:val="004E2E4B"/>
    <w:rsid w:val="004F24A3"/>
    <w:rsid w:val="00581FE9"/>
    <w:rsid w:val="005A3F14"/>
    <w:rsid w:val="005A441C"/>
    <w:rsid w:val="005B470F"/>
    <w:rsid w:val="00614DDD"/>
    <w:rsid w:val="006159B7"/>
    <w:rsid w:val="006422FB"/>
    <w:rsid w:val="00707877"/>
    <w:rsid w:val="00737F5E"/>
    <w:rsid w:val="007B7382"/>
    <w:rsid w:val="00816A70"/>
    <w:rsid w:val="008470B3"/>
    <w:rsid w:val="00890E4E"/>
    <w:rsid w:val="008E210A"/>
    <w:rsid w:val="00936D1C"/>
    <w:rsid w:val="0096779C"/>
    <w:rsid w:val="00986321"/>
    <w:rsid w:val="009867D9"/>
    <w:rsid w:val="009D13CF"/>
    <w:rsid w:val="00A51C53"/>
    <w:rsid w:val="00A76BED"/>
    <w:rsid w:val="00A82FAF"/>
    <w:rsid w:val="00A9730C"/>
    <w:rsid w:val="00AC151C"/>
    <w:rsid w:val="00B00099"/>
    <w:rsid w:val="00B34D30"/>
    <w:rsid w:val="00B54532"/>
    <w:rsid w:val="00B67958"/>
    <w:rsid w:val="00B85505"/>
    <w:rsid w:val="00BA3A9B"/>
    <w:rsid w:val="00BD3FAB"/>
    <w:rsid w:val="00C00287"/>
    <w:rsid w:val="00C647EC"/>
    <w:rsid w:val="00C85F0F"/>
    <w:rsid w:val="00CA4702"/>
    <w:rsid w:val="00CD114A"/>
    <w:rsid w:val="00D261D4"/>
    <w:rsid w:val="00D44968"/>
    <w:rsid w:val="00D44E22"/>
    <w:rsid w:val="00D466FC"/>
    <w:rsid w:val="00D77A73"/>
    <w:rsid w:val="00DB5592"/>
    <w:rsid w:val="00DE294D"/>
    <w:rsid w:val="00E1311F"/>
    <w:rsid w:val="00E176D1"/>
    <w:rsid w:val="00E85F65"/>
    <w:rsid w:val="00ED6C6F"/>
    <w:rsid w:val="00F05628"/>
    <w:rsid w:val="00F83D10"/>
    <w:rsid w:val="00F91AE4"/>
    <w:rsid w:val="00F92C58"/>
    <w:rsid w:val="00F969A5"/>
    <w:rsid w:val="00F97884"/>
    <w:rsid w:val="00FA5637"/>
    <w:rsid w:val="00FB5358"/>
    <w:rsid w:val="00FC3149"/>
    <w:rsid w:val="00FC54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1D31"/>
  <w15:chartTrackingRefBased/>
  <w15:docId w15:val="{B2B3CD36-1501-4B52-A6E8-197481EB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22"/>
    <w:pPr>
      <w:spacing w:after="159" w:line="248" w:lineRule="auto"/>
      <w:ind w:left="1430" w:right="618" w:hanging="590"/>
    </w:pPr>
    <w:rPr>
      <w:rFonts w:ascii="Calibri" w:eastAsia="Calibri" w:hAnsi="Calibri" w:cs="Calibri"/>
      <w:color w:val="181717"/>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0"/>
    <w:basedOn w:val="TableNormal"/>
    <w:uiPriority w:val="39"/>
    <w:rsid w:val="00ED6C6F"/>
    <w:pPr>
      <w:spacing w:after="0" w:line="240" w:lineRule="auto"/>
    </w:pPr>
    <w:rPr>
      <w:rFonts w:eastAsiaTheme="minorEastAsia"/>
      <w:kern w:val="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F65"/>
    <w:pPr>
      <w:ind w:left="720"/>
      <w:contextualSpacing/>
    </w:pPr>
  </w:style>
  <w:style w:type="paragraph" w:styleId="FootnoteText">
    <w:name w:val="footnote text"/>
    <w:basedOn w:val="Normal"/>
    <w:link w:val="FootnoteTextChar"/>
    <w:uiPriority w:val="99"/>
    <w:semiHidden/>
    <w:unhideWhenUsed/>
    <w:rsid w:val="00F97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884"/>
    <w:rPr>
      <w:rFonts w:ascii="Calibri" w:eastAsia="Calibri" w:hAnsi="Calibri" w:cs="Calibri"/>
      <w:color w:val="181717"/>
      <w:kern w:val="0"/>
      <w:sz w:val="20"/>
      <w:szCs w:val="20"/>
      <w:lang w:eastAsia="en-IE"/>
      <w14:ligatures w14:val="none"/>
    </w:rPr>
  </w:style>
  <w:style w:type="character" w:styleId="FootnoteReference">
    <w:name w:val="footnote reference"/>
    <w:basedOn w:val="DefaultParagraphFont"/>
    <w:uiPriority w:val="99"/>
    <w:semiHidden/>
    <w:unhideWhenUsed/>
    <w:rsid w:val="00F97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a4a86a7c098b72dad60ebe1eb1070fce">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e3752b9740bc3e8596cea4739a8f6a3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documentManagement>
</p:properties>
</file>

<file path=customXml/itemProps1.xml><?xml version="1.0" encoding="utf-8"?>
<ds:datastoreItem xmlns:ds="http://schemas.openxmlformats.org/officeDocument/2006/customXml" ds:itemID="{7CCEB609-D0D1-4293-BD23-B9A28A891876}">
  <ds:schemaRefs>
    <ds:schemaRef ds:uri="http://schemas.openxmlformats.org/officeDocument/2006/bibliography"/>
  </ds:schemaRefs>
</ds:datastoreItem>
</file>

<file path=customXml/itemProps2.xml><?xml version="1.0" encoding="utf-8"?>
<ds:datastoreItem xmlns:ds="http://schemas.openxmlformats.org/officeDocument/2006/customXml" ds:itemID="{7B6FCF39-600D-4B1D-9F44-250ABADA2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F63B3-5954-4C57-96BF-0F26D9E281C5}">
  <ds:schemaRefs>
    <ds:schemaRef ds:uri="http://schemas.microsoft.com/sharepoint/v3/contenttype/forms"/>
  </ds:schemaRefs>
</ds:datastoreItem>
</file>

<file path=customXml/itemProps4.xml><?xml version="1.0" encoding="utf-8"?>
<ds:datastoreItem xmlns:ds="http://schemas.openxmlformats.org/officeDocument/2006/customXml" ds:itemID="{4CE08F1E-E9AF-4513-928C-02D0BE7D37A3}">
  <ds:schemaRefs>
    <ds:schemaRef ds:uri="7ecbb458-cab1-44c2-9295-aa34544eafbc"/>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0aec3956-6584-4d32-bedc-c13ffa435b09"/>
    <ds:schemaRef ds:uri="0AEC3956-6584-4D32-BEDC-C13FFA435B09"/>
    <ds:schemaRef ds:uri="029516f6-350c-4b78-891a-192c0b54910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2131</Words>
  <Characters>12148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dc:description/>
  <cp:lastModifiedBy>Walter Balfe</cp:lastModifiedBy>
  <cp:revision>2</cp:revision>
  <dcterms:created xsi:type="dcterms:W3CDTF">2024-11-06T16:22:00Z</dcterms:created>
  <dcterms:modified xsi:type="dcterms:W3CDTF">2024-11-06T16:22:00Z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ies>
</file>