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FCE91" w14:textId="01727D79" w:rsidR="00BF3061" w:rsidRDefault="00F97E81">
      <w:pPr>
        <w:spacing w:after="275" w:line="259" w:lineRule="auto"/>
        <w:ind w:left="251" w:firstLine="0"/>
        <w:jc w:val="center"/>
      </w:pPr>
      <w:r w:rsidRPr="00F97E81">
        <w:rPr>
          <w:b w:val="0"/>
          <w:noProof/>
          <w:color w:val="000000"/>
          <w:sz w:val="22"/>
        </w:rPr>
        <w:drawing>
          <wp:inline distT="0" distB="0" distL="0" distR="0" wp14:anchorId="405C8621" wp14:editId="4F2D4B70">
            <wp:extent cx="2881312" cy="793071"/>
            <wp:effectExtent l="0" t="0" r="0" b="7620"/>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a:blip r:embed="rId10"/>
                    <a:stretch>
                      <a:fillRect/>
                    </a:stretch>
                  </pic:blipFill>
                  <pic:spPr>
                    <a:xfrm>
                      <a:off x="0" y="0"/>
                      <a:ext cx="2976290" cy="819213"/>
                    </a:xfrm>
                    <a:prstGeom prst="rect">
                      <a:avLst/>
                    </a:prstGeom>
                  </pic:spPr>
                </pic:pic>
              </a:graphicData>
            </a:graphic>
          </wp:inline>
        </w:drawing>
      </w:r>
      <w:r w:rsidR="00042D5B">
        <w:rPr>
          <w:b w:val="0"/>
          <w:color w:val="000000"/>
          <w:sz w:val="22"/>
        </w:rPr>
        <w:t xml:space="preserve"> </w:t>
      </w:r>
    </w:p>
    <w:p w14:paraId="32C23991" w14:textId="6E797678" w:rsidR="00A86CBA" w:rsidRDefault="001A2571" w:rsidP="00A86CBA">
      <w:pPr>
        <w:ind w:left="1202"/>
        <w:jc w:val="center"/>
      </w:pPr>
      <w:r>
        <w:t>Kildare and Wicklow</w:t>
      </w:r>
      <w:r w:rsidR="00AC765B">
        <w:t xml:space="preserve"> Edu</w:t>
      </w:r>
      <w:r w:rsidR="00042D5B">
        <w:t xml:space="preserve">cation </w:t>
      </w:r>
      <w:r w:rsidR="00AC765B">
        <w:t>and</w:t>
      </w:r>
      <w:r w:rsidR="00042D5B">
        <w:t xml:space="preserve"> Training Board </w:t>
      </w:r>
      <w:r w:rsidR="00A86CBA">
        <w:t>–</w:t>
      </w:r>
      <w:r w:rsidR="00042D5B">
        <w:t xml:space="preserve"> </w:t>
      </w:r>
    </w:p>
    <w:p w14:paraId="5E592E04" w14:textId="77777777" w:rsidR="00A86CBA" w:rsidRDefault="00042D5B" w:rsidP="00A86CBA">
      <w:pPr>
        <w:ind w:left="1202"/>
        <w:jc w:val="center"/>
      </w:pPr>
      <w:r>
        <w:t xml:space="preserve">Inaugural Review of Quality Assurance in </w:t>
      </w:r>
    </w:p>
    <w:p w14:paraId="78F88034" w14:textId="489CFA3E" w:rsidR="00BF3061" w:rsidRDefault="00042D5B" w:rsidP="00A86CBA">
      <w:pPr>
        <w:ind w:left="1202"/>
        <w:jc w:val="center"/>
      </w:pPr>
      <w:r>
        <w:t>Education and Training Boards</w:t>
      </w:r>
      <w:r w:rsidR="00287C66">
        <w:t xml:space="preserve"> 202</w:t>
      </w:r>
      <w:r w:rsidR="00A022B3">
        <w:t>2</w:t>
      </w:r>
    </w:p>
    <w:p w14:paraId="181AF84D" w14:textId="77777777" w:rsidR="00A86CBA" w:rsidRDefault="00A86CBA" w:rsidP="00A86CBA">
      <w:pPr>
        <w:ind w:left="1202"/>
        <w:jc w:val="center"/>
      </w:pPr>
    </w:p>
    <w:tbl>
      <w:tblPr>
        <w:tblStyle w:val="TableGrid0"/>
        <w:tblW w:w="0" w:type="auto"/>
        <w:tblLayout w:type="fixed"/>
        <w:tblLook w:val="04A0" w:firstRow="1" w:lastRow="0" w:firstColumn="1" w:lastColumn="0" w:noHBand="0" w:noVBand="1"/>
      </w:tblPr>
      <w:tblGrid>
        <w:gridCol w:w="3681"/>
        <w:gridCol w:w="5439"/>
      </w:tblGrid>
      <w:tr w:rsidR="00DE6B6A" w:rsidRPr="00DE6B6A" w14:paraId="14667B41" w14:textId="77777777" w:rsidTr="00421F6A">
        <w:tc>
          <w:tcPr>
            <w:tcW w:w="9120" w:type="dxa"/>
            <w:gridSpan w:val="2"/>
          </w:tcPr>
          <w:p w14:paraId="0ED90468" w14:textId="77777777" w:rsidR="007C32AA" w:rsidRDefault="007C32AA">
            <w:pPr>
              <w:spacing w:line="259" w:lineRule="auto"/>
              <w:ind w:left="0" w:firstLine="0"/>
              <w:rPr>
                <w:b w:val="0"/>
                <w:sz w:val="24"/>
              </w:rPr>
            </w:pPr>
            <w:r>
              <w:rPr>
                <w:b w:val="0"/>
                <w:sz w:val="24"/>
              </w:rPr>
              <w:t xml:space="preserve">The </w:t>
            </w:r>
            <w:r w:rsidR="00056075">
              <w:rPr>
                <w:b w:val="0"/>
                <w:sz w:val="24"/>
              </w:rPr>
              <w:t>Review Team</w:t>
            </w:r>
          </w:p>
          <w:p w14:paraId="41026842" w14:textId="044965F4" w:rsidR="00E132C9" w:rsidRPr="00D05C43" w:rsidRDefault="00E132C9">
            <w:pPr>
              <w:spacing w:line="259" w:lineRule="auto"/>
              <w:ind w:left="0" w:firstLine="0"/>
              <w:rPr>
                <w:b w:val="0"/>
                <w:sz w:val="24"/>
              </w:rPr>
            </w:pPr>
          </w:p>
        </w:tc>
      </w:tr>
      <w:tr w:rsidR="00DE6B6A" w:rsidRPr="00DE6B6A" w14:paraId="1AF3F418" w14:textId="77777777" w:rsidTr="00902936">
        <w:tc>
          <w:tcPr>
            <w:tcW w:w="3681" w:type="dxa"/>
          </w:tcPr>
          <w:p w14:paraId="3A9326D5" w14:textId="48934D9A" w:rsidR="00A86CBA" w:rsidRDefault="004145E1" w:rsidP="003E4B57">
            <w:pPr>
              <w:spacing w:line="259" w:lineRule="auto"/>
              <w:ind w:left="0" w:firstLine="0"/>
              <w:rPr>
                <w:b w:val="0"/>
                <w:color w:val="000000"/>
                <w:sz w:val="24"/>
              </w:rPr>
            </w:pPr>
            <w:r>
              <w:rPr>
                <w:b w:val="0"/>
                <w:noProof/>
                <w:color w:val="000000"/>
                <w:sz w:val="24"/>
              </w:rPr>
              <w:drawing>
                <wp:anchor distT="0" distB="0" distL="114300" distR="114300" simplePos="0" relativeHeight="251663360" behindDoc="0" locked="0" layoutInCell="1" allowOverlap="1" wp14:anchorId="5614F505" wp14:editId="162F9159">
                  <wp:simplePos x="0" y="0"/>
                  <wp:positionH relativeFrom="column">
                    <wp:posOffset>4445</wp:posOffset>
                  </wp:positionH>
                  <wp:positionV relativeFrom="paragraph">
                    <wp:posOffset>51435</wp:posOffset>
                  </wp:positionV>
                  <wp:extent cx="2200275" cy="1635760"/>
                  <wp:effectExtent l="0" t="0" r="9525" b="2540"/>
                  <wp:wrapNone/>
                  <wp:docPr id="1" name="Picture 1" descr="A person in a suit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 smiling&#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0275" cy="1635760"/>
                          </a:xfrm>
                          <a:prstGeom prst="rect">
                            <a:avLst/>
                          </a:prstGeom>
                        </pic:spPr>
                      </pic:pic>
                    </a:graphicData>
                  </a:graphic>
                </wp:anchor>
              </w:drawing>
            </w:r>
          </w:p>
        </w:tc>
        <w:tc>
          <w:tcPr>
            <w:tcW w:w="5439" w:type="dxa"/>
          </w:tcPr>
          <w:p w14:paraId="4E293FB4" w14:textId="1AE79EE5" w:rsidR="0015645C" w:rsidRPr="00605D82" w:rsidRDefault="00D167BD" w:rsidP="003E4B57">
            <w:pPr>
              <w:spacing w:line="259" w:lineRule="auto"/>
              <w:ind w:left="0" w:firstLine="0"/>
              <w:rPr>
                <w:b w:val="0"/>
                <w:sz w:val="24"/>
                <w:szCs w:val="24"/>
              </w:rPr>
            </w:pPr>
            <w:r w:rsidRPr="00605D82">
              <w:rPr>
                <w:b w:val="0"/>
                <w:sz w:val="24"/>
                <w:szCs w:val="24"/>
              </w:rPr>
              <w:t xml:space="preserve">Chair </w:t>
            </w:r>
          </w:p>
          <w:p w14:paraId="4809D99A" w14:textId="18BF7A5C" w:rsidR="00605D82" w:rsidRPr="004F2CA8" w:rsidRDefault="00605D82" w:rsidP="00605D82">
            <w:pPr>
              <w:spacing w:line="259" w:lineRule="auto"/>
              <w:ind w:left="0" w:firstLine="0"/>
              <w:rPr>
                <w:b w:val="0"/>
                <w:color w:val="auto"/>
                <w:sz w:val="22"/>
              </w:rPr>
            </w:pPr>
            <w:r w:rsidRPr="004F2CA8">
              <w:rPr>
                <w:bCs/>
                <w:color w:val="auto"/>
                <w:sz w:val="22"/>
              </w:rPr>
              <w:t>David Jones</w:t>
            </w:r>
            <w:r w:rsidRPr="004F2CA8">
              <w:rPr>
                <w:b w:val="0"/>
                <w:color w:val="auto"/>
                <w:sz w:val="22"/>
              </w:rPr>
              <w:t xml:space="preserve"> stepped down as Chief Executive/Principal of Coleg Cambria at the end of 2019 after steering the institution to great acclaim. </w:t>
            </w:r>
            <w:r w:rsidR="008B4D1E">
              <w:rPr>
                <w:b w:val="0"/>
                <w:color w:val="auto"/>
                <w:sz w:val="22"/>
              </w:rPr>
              <w:t xml:space="preserve">  </w:t>
            </w:r>
            <w:r w:rsidRPr="004F2CA8">
              <w:rPr>
                <w:b w:val="0"/>
                <w:color w:val="auto"/>
                <w:sz w:val="22"/>
              </w:rPr>
              <w:t xml:space="preserve">A champion of work-based learning, apprenticeships, fundraising and accessible education for people of all ages, he has made a vast contribution to shaping the careers of tens of thousands of youngsters and mature learners over more than three decades. </w:t>
            </w:r>
            <w:r w:rsidR="00D05C43" w:rsidRPr="004F2CA8">
              <w:rPr>
                <w:b w:val="0"/>
                <w:color w:val="auto"/>
                <w:sz w:val="22"/>
              </w:rPr>
              <w:t xml:space="preserve"> </w:t>
            </w:r>
            <w:r w:rsidRPr="004F2CA8">
              <w:rPr>
                <w:b w:val="0"/>
                <w:color w:val="auto"/>
                <w:sz w:val="22"/>
              </w:rPr>
              <w:t xml:space="preserve">Initially a chartered electronics engineer, as the CEO/Principal of Deeside College from 2004, he led its mergers from 2009 to 2013 with the Welsh College of Horticulture, </w:t>
            </w:r>
            <w:proofErr w:type="spellStart"/>
            <w:r w:rsidRPr="004F2CA8">
              <w:rPr>
                <w:b w:val="0"/>
                <w:color w:val="auto"/>
                <w:sz w:val="22"/>
              </w:rPr>
              <w:t>Llysfasi</w:t>
            </w:r>
            <w:proofErr w:type="spellEnd"/>
            <w:r w:rsidRPr="004F2CA8">
              <w:rPr>
                <w:b w:val="0"/>
                <w:color w:val="auto"/>
                <w:sz w:val="22"/>
              </w:rPr>
              <w:t xml:space="preserve"> College and Wrexham’s Yale College, to create Coleg Cambria. </w:t>
            </w:r>
          </w:p>
          <w:p w14:paraId="3CEDB8D2" w14:textId="77777777" w:rsidR="00605D82" w:rsidRPr="004F2CA8" w:rsidRDefault="00605D82" w:rsidP="00605D82">
            <w:pPr>
              <w:spacing w:line="259" w:lineRule="auto"/>
              <w:ind w:left="0" w:firstLine="0"/>
              <w:rPr>
                <w:b w:val="0"/>
                <w:color w:val="auto"/>
                <w:sz w:val="22"/>
              </w:rPr>
            </w:pPr>
          </w:p>
          <w:p w14:paraId="32EA8022" w14:textId="77777777" w:rsidR="00902936" w:rsidRPr="004F2CA8" w:rsidRDefault="00605D82" w:rsidP="001A2571">
            <w:pPr>
              <w:spacing w:line="259" w:lineRule="auto"/>
              <w:ind w:left="0" w:firstLine="0"/>
              <w:rPr>
                <w:b w:val="0"/>
                <w:color w:val="auto"/>
                <w:sz w:val="22"/>
              </w:rPr>
            </w:pPr>
            <w:r w:rsidRPr="004F2CA8">
              <w:rPr>
                <w:b w:val="0"/>
                <w:color w:val="auto"/>
                <w:sz w:val="22"/>
              </w:rPr>
              <w:t xml:space="preserve">In addition to a wide range of previous non-executive appointments, David is currently the Chair of Qualifications Wales, a board member of the Defence Electronics Component Agency (DECA) and the Wales Appeals Board of </w:t>
            </w:r>
            <w:proofErr w:type="gramStart"/>
            <w:r w:rsidRPr="004F2CA8">
              <w:rPr>
                <w:b w:val="0"/>
                <w:color w:val="auto"/>
                <w:sz w:val="22"/>
              </w:rPr>
              <w:t>NSPCC Wales, and</w:t>
            </w:r>
            <w:proofErr w:type="gramEnd"/>
            <w:r w:rsidRPr="004F2CA8">
              <w:rPr>
                <w:b w:val="0"/>
                <w:color w:val="auto"/>
                <w:sz w:val="22"/>
              </w:rPr>
              <w:t xml:space="preserve"> chaired the inaugural review of Laois and Offaly ETB.  He is also a commissioner for the UK-wide Independent Commission on the College of the Future, which published its initial reports in 2020.</w:t>
            </w:r>
          </w:p>
          <w:p w14:paraId="3A459863" w14:textId="02A29994" w:rsidR="00D05C43" w:rsidRPr="00902936" w:rsidRDefault="00D05C43" w:rsidP="001A2571">
            <w:pPr>
              <w:spacing w:line="259" w:lineRule="auto"/>
              <w:ind w:left="0" w:firstLine="0"/>
              <w:rPr>
                <w:b w:val="0"/>
                <w:color w:val="auto"/>
                <w:sz w:val="22"/>
              </w:rPr>
            </w:pPr>
          </w:p>
        </w:tc>
      </w:tr>
      <w:tr w:rsidR="00DE6B6A" w:rsidRPr="00DE6B6A" w14:paraId="3DB713E1" w14:textId="77777777" w:rsidTr="009B6E35">
        <w:trPr>
          <w:trHeight w:val="2539"/>
        </w:trPr>
        <w:tc>
          <w:tcPr>
            <w:tcW w:w="3681" w:type="dxa"/>
          </w:tcPr>
          <w:p w14:paraId="1BE8064D" w14:textId="0CFAEAB4" w:rsidR="00A86CBA" w:rsidRDefault="00F17AFD">
            <w:pPr>
              <w:spacing w:line="259" w:lineRule="auto"/>
              <w:ind w:left="0" w:firstLine="0"/>
              <w:rPr>
                <w:b w:val="0"/>
                <w:color w:val="000000"/>
                <w:sz w:val="24"/>
              </w:rPr>
            </w:pPr>
            <w:r>
              <w:rPr>
                <w:b w:val="0"/>
                <w:noProof/>
                <w:color w:val="000000"/>
                <w:sz w:val="24"/>
              </w:rPr>
              <w:drawing>
                <wp:anchor distT="0" distB="0" distL="114300" distR="114300" simplePos="0" relativeHeight="251661312" behindDoc="0" locked="0" layoutInCell="1" allowOverlap="1" wp14:anchorId="110AA86D" wp14:editId="4B0DFB57">
                  <wp:simplePos x="0" y="0"/>
                  <wp:positionH relativeFrom="column">
                    <wp:posOffset>4444</wp:posOffset>
                  </wp:positionH>
                  <wp:positionV relativeFrom="paragraph">
                    <wp:posOffset>56514</wp:posOffset>
                  </wp:positionV>
                  <wp:extent cx="2200275" cy="2614293"/>
                  <wp:effectExtent l="0" t="0" r="0" b="0"/>
                  <wp:wrapNone/>
                  <wp:docPr id="4" name="Picture 4" descr="A picture containing person, person, wall,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person, wall, posing&#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205276" cy="2620234"/>
                          </a:xfrm>
                          <a:prstGeom prst="rect">
                            <a:avLst/>
                          </a:prstGeom>
                        </pic:spPr>
                      </pic:pic>
                    </a:graphicData>
                  </a:graphic>
                  <wp14:sizeRelH relativeFrom="margin">
                    <wp14:pctWidth>0</wp14:pctWidth>
                  </wp14:sizeRelH>
                  <wp14:sizeRelV relativeFrom="margin">
                    <wp14:pctHeight>0</wp14:pctHeight>
                  </wp14:sizeRelV>
                </wp:anchor>
              </w:drawing>
            </w:r>
          </w:p>
        </w:tc>
        <w:tc>
          <w:tcPr>
            <w:tcW w:w="5439" w:type="dxa"/>
          </w:tcPr>
          <w:p w14:paraId="3BCA3F5A" w14:textId="4C5EBD5F" w:rsidR="00AD1BEC" w:rsidRPr="00D737FF" w:rsidRDefault="00AD1BEC" w:rsidP="00AD1BEC">
            <w:pPr>
              <w:spacing w:line="259" w:lineRule="auto"/>
              <w:ind w:left="0" w:firstLine="0"/>
              <w:rPr>
                <w:b w:val="0"/>
                <w:color w:val="auto"/>
                <w:sz w:val="24"/>
                <w:szCs w:val="24"/>
              </w:rPr>
            </w:pPr>
            <w:r w:rsidRPr="00D737FF">
              <w:rPr>
                <w:b w:val="0"/>
                <w:sz w:val="24"/>
                <w:szCs w:val="24"/>
              </w:rPr>
              <w:t xml:space="preserve">Coordinating Reviewer </w:t>
            </w:r>
          </w:p>
          <w:p w14:paraId="3B3B2F97" w14:textId="77777777" w:rsidR="00335BA5" w:rsidRPr="00D737FF" w:rsidRDefault="00335BA5" w:rsidP="00335BA5">
            <w:pPr>
              <w:spacing w:line="259" w:lineRule="auto"/>
              <w:ind w:left="0" w:firstLine="0"/>
              <w:jc w:val="both"/>
              <w:rPr>
                <w:b w:val="0"/>
                <w:color w:val="auto"/>
                <w:sz w:val="22"/>
              </w:rPr>
            </w:pPr>
            <w:r w:rsidRPr="00D737FF">
              <w:rPr>
                <w:bCs/>
                <w:color w:val="auto"/>
                <w:sz w:val="22"/>
              </w:rPr>
              <w:t>Dr Deirdre Stritch</w:t>
            </w:r>
            <w:r w:rsidRPr="00D737FF">
              <w:rPr>
                <w:b w:val="0"/>
                <w:color w:val="auto"/>
                <w:sz w:val="22"/>
              </w:rPr>
              <w:t xml:space="preserve"> is an independent education and QA consultant. Until end of August 2021, she held a number of roles with Quality and Qualifications Ireland (QQI). </w:t>
            </w:r>
          </w:p>
          <w:p w14:paraId="689D8C92" w14:textId="77777777" w:rsidR="00335BA5" w:rsidRPr="00D737FF" w:rsidRDefault="00335BA5" w:rsidP="00335BA5">
            <w:pPr>
              <w:spacing w:line="259" w:lineRule="auto"/>
              <w:ind w:left="0" w:firstLine="0"/>
              <w:jc w:val="both"/>
              <w:rPr>
                <w:b w:val="0"/>
                <w:color w:val="auto"/>
                <w:sz w:val="22"/>
              </w:rPr>
            </w:pPr>
          </w:p>
          <w:p w14:paraId="7F269946" w14:textId="77777777" w:rsidR="00335BA5" w:rsidRPr="00D737FF" w:rsidRDefault="00335BA5" w:rsidP="00335BA5">
            <w:pPr>
              <w:spacing w:line="259" w:lineRule="auto"/>
              <w:ind w:left="0" w:firstLine="0"/>
              <w:jc w:val="both"/>
              <w:rPr>
                <w:b w:val="0"/>
                <w:color w:val="auto"/>
                <w:sz w:val="22"/>
              </w:rPr>
            </w:pPr>
            <w:r w:rsidRPr="00D737FF">
              <w:rPr>
                <w:b w:val="0"/>
                <w:color w:val="auto"/>
                <w:sz w:val="22"/>
              </w:rPr>
              <w:t xml:space="preserve">Most recently, she was Quality Assurance Approval and Monitoring Manager and Programme Manager for Academic Integrity Initiatives. In that role, she led QQI’s ‘reengagement’ process, which saw the QA evaluation of all QQI-regulated private and voluntary sector HE and FE providers. </w:t>
            </w:r>
          </w:p>
          <w:p w14:paraId="40C378C4" w14:textId="77777777" w:rsidR="00305628" w:rsidRPr="00D737FF" w:rsidRDefault="00305628" w:rsidP="00335BA5">
            <w:pPr>
              <w:spacing w:line="259" w:lineRule="auto"/>
              <w:ind w:left="0" w:firstLine="0"/>
              <w:jc w:val="both"/>
              <w:rPr>
                <w:b w:val="0"/>
                <w:color w:val="auto"/>
                <w:sz w:val="22"/>
              </w:rPr>
            </w:pPr>
          </w:p>
          <w:p w14:paraId="545A31B1" w14:textId="77777777" w:rsidR="00E979DF" w:rsidRDefault="00335BA5" w:rsidP="00335BA5">
            <w:pPr>
              <w:spacing w:line="259" w:lineRule="auto"/>
              <w:ind w:left="0" w:firstLine="0"/>
              <w:jc w:val="both"/>
              <w:rPr>
                <w:b w:val="0"/>
                <w:color w:val="auto"/>
                <w:sz w:val="22"/>
              </w:rPr>
            </w:pPr>
            <w:r w:rsidRPr="00D737FF">
              <w:rPr>
                <w:b w:val="0"/>
                <w:color w:val="auto"/>
                <w:sz w:val="22"/>
              </w:rPr>
              <w:t xml:space="preserve">Deirdre has significant regulatory experience with private and public providers, and has represented Ireland in a </w:t>
            </w:r>
          </w:p>
          <w:p w14:paraId="2F4D3EE2" w14:textId="77777777" w:rsidR="00E979DF" w:rsidRDefault="00E979DF" w:rsidP="00335BA5">
            <w:pPr>
              <w:spacing w:line="259" w:lineRule="auto"/>
              <w:ind w:left="0" w:firstLine="0"/>
              <w:jc w:val="both"/>
              <w:rPr>
                <w:b w:val="0"/>
                <w:color w:val="auto"/>
                <w:sz w:val="22"/>
              </w:rPr>
            </w:pPr>
          </w:p>
          <w:p w14:paraId="4AC49B47" w14:textId="77777777" w:rsidR="00E979DF" w:rsidRDefault="00E979DF" w:rsidP="00335BA5">
            <w:pPr>
              <w:spacing w:line="259" w:lineRule="auto"/>
              <w:ind w:left="0" w:firstLine="0"/>
              <w:jc w:val="both"/>
              <w:rPr>
                <w:b w:val="0"/>
                <w:color w:val="auto"/>
                <w:sz w:val="22"/>
              </w:rPr>
            </w:pPr>
          </w:p>
          <w:p w14:paraId="68315D2F" w14:textId="33A136EB" w:rsidR="00335BA5" w:rsidRPr="00D737FF" w:rsidRDefault="00335BA5" w:rsidP="00335BA5">
            <w:pPr>
              <w:spacing w:line="259" w:lineRule="auto"/>
              <w:ind w:left="0" w:firstLine="0"/>
              <w:jc w:val="both"/>
              <w:rPr>
                <w:b w:val="0"/>
                <w:color w:val="auto"/>
                <w:sz w:val="22"/>
              </w:rPr>
            </w:pPr>
            <w:r w:rsidRPr="00D737FF">
              <w:rPr>
                <w:b w:val="0"/>
                <w:color w:val="auto"/>
                <w:sz w:val="22"/>
              </w:rPr>
              <w:lastRenderedPageBreak/>
              <w:t xml:space="preserve">number of international fora, including the Council of Europe; the European Commission; the European Network for Quality Assurance and the European Network for Academic Integrity. She has participated in national steering groups dealing with the internationalisation of Irish education and developing new regulatory structures for international learners. She was also responsible for implementing new legislation pertaining to the criminalisation of contract cheating which was introduced at the end of 2019. </w:t>
            </w:r>
          </w:p>
          <w:p w14:paraId="48D0BC39" w14:textId="77777777" w:rsidR="00335BA5" w:rsidRPr="00D737FF" w:rsidRDefault="00335BA5" w:rsidP="00335BA5">
            <w:pPr>
              <w:spacing w:line="259" w:lineRule="auto"/>
              <w:ind w:left="0" w:firstLine="0"/>
              <w:jc w:val="both"/>
              <w:rPr>
                <w:b w:val="0"/>
                <w:color w:val="auto"/>
                <w:sz w:val="22"/>
              </w:rPr>
            </w:pPr>
          </w:p>
          <w:p w14:paraId="0AD1C2FB" w14:textId="77777777" w:rsidR="00335BA5" w:rsidRPr="00D737FF" w:rsidRDefault="00335BA5" w:rsidP="00335BA5">
            <w:pPr>
              <w:spacing w:line="259" w:lineRule="auto"/>
              <w:ind w:left="0" w:firstLine="0"/>
              <w:jc w:val="both"/>
              <w:rPr>
                <w:b w:val="0"/>
                <w:color w:val="auto"/>
                <w:sz w:val="22"/>
              </w:rPr>
            </w:pPr>
            <w:r w:rsidRPr="00D737FF">
              <w:rPr>
                <w:b w:val="0"/>
                <w:color w:val="auto"/>
                <w:sz w:val="22"/>
              </w:rPr>
              <w:t>Previously, she managed projects related to the development and implementation of the National Framework of Qualifications and the recognition of qualifications with the National Qualifications Authority of Ireland and on national higher education policy development with the Higher Education Authority and the Royal Irish Academy.</w:t>
            </w:r>
          </w:p>
          <w:p w14:paraId="2F4679B0" w14:textId="70F901A1" w:rsidR="008907E0" w:rsidRPr="00D737FF" w:rsidRDefault="008907E0" w:rsidP="00B62619">
            <w:pPr>
              <w:spacing w:line="259" w:lineRule="auto"/>
              <w:ind w:left="0" w:firstLine="0"/>
              <w:jc w:val="both"/>
              <w:rPr>
                <w:b w:val="0"/>
                <w:color w:val="auto"/>
                <w:sz w:val="22"/>
              </w:rPr>
            </w:pPr>
          </w:p>
        </w:tc>
      </w:tr>
      <w:tr w:rsidR="00DE6B6A" w:rsidRPr="00DE6B6A" w14:paraId="694D24B1" w14:textId="77777777" w:rsidTr="00421F6A">
        <w:tc>
          <w:tcPr>
            <w:tcW w:w="3681" w:type="dxa"/>
          </w:tcPr>
          <w:p w14:paraId="487610FB" w14:textId="29B651DE" w:rsidR="00DD320C" w:rsidRDefault="00715802" w:rsidP="0033236D">
            <w:pPr>
              <w:spacing w:line="259" w:lineRule="auto"/>
              <w:ind w:left="0" w:firstLine="0"/>
              <w:rPr>
                <w:b w:val="0"/>
                <w:color w:val="000000"/>
                <w:sz w:val="24"/>
              </w:rPr>
            </w:pPr>
            <w:r>
              <w:rPr>
                <w:b w:val="0"/>
                <w:noProof/>
                <w:color w:val="000000"/>
                <w:sz w:val="24"/>
              </w:rPr>
              <w:lastRenderedPageBreak/>
              <w:drawing>
                <wp:anchor distT="0" distB="0" distL="114300" distR="114300" simplePos="0" relativeHeight="251660288" behindDoc="0" locked="0" layoutInCell="1" allowOverlap="1" wp14:anchorId="0AB506D7" wp14:editId="456A077B">
                  <wp:simplePos x="0" y="0"/>
                  <wp:positionH relativeFrom="column">
                    <wp:posOffset>4445</wp:posOffset>
                  </wp:positionH>
                  <wp:positionV relativeFrom="paragraph">
                    <wp:posOffset>45720</wp:posOffset>
                  </wp:positionV>
                  <wp:extent cx="2200275" cy="2774950"/>
                  <wp:effectExtent l="0" t="0" r="9525" b="6350"/>
                  <wp:wrapNone/>
                  <wp:docPr id="5" name="Picture 5"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earing glasses&#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00275" cy="2774950"/>
                          </a:xfrm>
                          <a:prstGeom prst="rect">
                            <a:avLst/>
                          </a:prstGeom>
                        </pic:spPr>
                      </pic:pic>
                    </a:graphicData>
                  </a:graphic>
                </wp:anchor>
              </w:drawing>
            </w:r>
          </w:p>
          <w:p w14:paraId="063CFF5E" w14:textId="77777777" w:rsidR="009351B0" w:rsidRDefault="009351B0" w:rsidP="0033236D">
            <w:pPr>
              <w:spacing w:line="259" w:lineRule="auto"/>
              <w:ind w:left="0" w:firstLine="0"/>
              <w:rPr>
                <w:b w:val="0"/>
                <w:color w:val="000000"/>
                <w:sz w:val="24"/>
              </w:rPr>
            </w:pPr>
          </w:p>
          <w:p w14:paraId="1CCBC893" w14:textId="77777777" w:rsidR="009351B0" w:rsidRDefault="009351B0" w:rsidP="0033236D">
            <w:pPr>
              <w:spacing w:line="259" w:lineRule="auto"/>
              <w:ind w:left="0" w:firstLine="0"/>
              <w:rPr>
                <w:b w:val="0"/>
                <w:color w:val="000000"/>
                <w:sz w:val="24"/>
              </w:rPr>
            </w:pPr>
          </w:p>
          <w:p w14:paraId="68B37982" w14:textId="77777777" w:rsidR="009351B0" w:rsidRDefault="009351B0" w:rsidP="0033236D">
            <w:pPr>
              <w:spacing w:line="259" w:lineRule="auto"/>
              <w:ind w:left="0" w:firstLine="0"/>
              <w:rPr>
                <w:b w:val="0"/>
                <w:color w:val="000000"/>
                <w:sz w:val="24"/>
              </w:rPr>
            </w:pPr>
          </w:p>
          <w:p w14:paraId="3FB973B1" w14:textId="77777777" w:rsidR="009351B0" w:rsidRDefault="009351B0" w:rsidP="0033236D">
            <w:pPr>
              <w:spacing w:line="259" w:lineRule="auto"/>
              <w:ind w:left="0" w:firstLine="0"/>
              <w:rPr>
                <w:b w:val="0"/>
                <w:color w:val="000000"/>
                <w:sz w:val="24"/>
              </w:rPr>
            </w:pPr>
          </w:p>
          <w:p w14:paraId="0F8168FF" w14:textId="77777777" w:rsidR="009351B0" w:rsidRDefault="009351B0" w:rsidP="0033236D">
            <w:pPr>
              <w:spacing w:line="259" w:lineRule="auto"/>
              <w:ind w:left="0" w:firstLine="0"/>
              <w:rPr>
                <w:b w:val="0"/>
                <w:color w:val="000000"/>
                <w:sz w:val="24"/>
              </w:rPr>
            </w:pPr>
          </w:p>
          <w:p w14:paraId="59B493F2" w14:textId="77777777" w:rsidR="009351B0" w:rsidRDefault="009351B0" w:rsidP="0033236D">
            <w:pPr>
              <w:spacing w:line="259" w:lineRule="auto"/>
              <w:ind w:left="0" w:firstLine="0"/>
              <w:rPr>
                <w:b w:val="0"/>
                <w:color w:val="000000"/>
                <w:sz w:val="24"/>
              </w:rPr>
            </w:pPr>
          </w:p>
          <w:p w14:paraId="370FFE93" w14:textId="77777777" w:rsidR="009351B0" w:rsidRDefault="009351B0" w:rsidP="0033236D">
            <w:pPr>
              <w:spacing w:line="259" w:lineRule="auto"/>
              <w:ind w:left="0" w:firstLine="0"/>
              <w:rPr>
                <w:b w:val="0"/>
                <w:color w:val="000000"/>
                <w:sz w:val="24"/>
              </w:rPr>
            </w:pPr>
          </w:p>
          <w:p w14:paraId="2D176B68" w14:textId="77777777" w:rsidR="009351B0" w:rsidRDefault="009351B0" w:rsidP="0033236D">
            <w:pPr>
              <w:spacing w:line="259" w:lineRule="auto"/>
              <w:ind w:left="0" w:firstLine="0"/>
              <w:rPr>
                <w:b w:val="0"/>
                <w:color w:val="000000"/>
                <w:sz w:val="24"/>
              </w:rPr>
            </w:pPr>
          </w:p>
          <w:p w14:paraId="33BC76C7" w14:textId="77777777" w:rsidR="009351B0" w:rsidRDefault="009351B0" w:rsidP="0033236D">
            <w:pPr>
              <w:spacing w:line="259" w:lineRule="auto"/>
              <w:ind w:left="0" w:firstLine="0"/>
              <w:rPr>
                <w:b w:val="0"/>
                <w:color w:val="000000"/>
                <w:sz w:val="24"/>
              </w:rPr>
            </w:pPr>
          </w:p>
          <w:p w14:paraId="1BE903C0" w14:textId="77777777" w:rsidR="009351B0" w:rsidRDefault="009351B0" w:rsidP="0033236D">
            <w:pPr>
              <w:spacing w:line="259" w:lineRule="auto"/>
              <w:ind w:left="0" w:firstLine="0"/>
              <w:rPr>
                <w:b w:val="0"/>
                <w:color w:val="000000"/>
                <w:sz w:val="24"/>
              </w:rPr>
            </w:pPr>
          </w:p>
          <w:p w14:paraId="4FED8B3E" w14:textId="77777777" w:rsidR="009351B0" w:rsidRDefault="009351B0" w:rsidP="0033236D">
            <w:pPr>
              <w:spacing w:line="259" w:lineRule="auto"/>
              <w:ind w:left="0" w:firstLine="0"/>
              <w:rPr>
                <w:b w:val="0"/>
                <w:color w:val="000000"/>
                <w:sz w:val="24"/>
              </w:rPr>
            </w:pPr>
          </w:p>
          <w:p w14:paraId="103A887F" w14:textId="77777777" w:rsidR="009351B0" w:rsidRDefault="009351B0" w:rsidP="0033236D">
            <w:pPr>
              <w:spacing w:line="259" w:lineRule="auto"/>
              <w:ind w:left="0" w:firstLine="0"/>
              <w:rPr>
                <w:b w:val="0"/>
                <w:color w:val="000000"/>
                <w:sz w:val="24"/>
              </w:rPr>
            </w:pPr>
          </w:p>
          <w:p w14:paraId="45E98BF9" w14:textId="77777777" w:rsidR="009351B0" w:rsidRDefault="009351B0" w:rsidP="0033236D">
            <w:pPr>
              <w:spacing w:line="259" w:lineRule="auto"/>
              <w:ind w:left="0" w:firstLine="0"/>
              <w:rPr>
                <w:b w:val="0"/>
                <w:color w:val="000000"/>
                <w:sz w:val="24"/>
              </w:rPr>
            </w:pPr>
          </w:p>
          <w:p w14:paraId="33826865" w14:textId="6705004E" w:rsidR="002B65FE" w:rsidRDefault="002B65FE" w:rsidP="0033236D">
            <w:pPr>
              <w:spacing w:line="259" w:lineRule="auto"/>
              <w:ind w:left="0" w:firstLine="0"/>
              <w:rPr>
                <w:b w:val="0"/>
                <w:color w:val="000000"/>
                <w:sz w:val="24"/>
              </w:rPr>
            </w:pPr>
          </w:p>
        </w:tc>
        <w:tc>
          <w:tcPr>
            <w:tcW w:w="5439" w:type="dxa"/>
          </w:tcPr>
          <w:p w14:paraId="54502F44" w14:textId="77777777" w:rsidR="00AE0204" w:rsidRDefault="00E317BF" w:rsidP="00E317BF">
            <w:pPr>
              <w:spacing w:line="259" w:lineRule="auto"/>
              <w:ind w:left="0" w:firstLine="0"/>
              <w:rPr>
                <w:b w:val="0"/>
                <w:bCs/>
                <w:color w:val="auto"/>
                <w:sz w:val="22"/>
              </w:rPr>
            </w:pPr>
            <w:r w:rsidRPr="00E317BF">
              <w:rPr>
                <w:color w:val="auto"/>
                <w:sz w:val="22"/>
              </w:rPr>
              <w:t>Hans Almgren</w:t>
            </w:r>
            <w:r w:rsidRPr="00E317BF">
              <w:rPr>
                <w:b w:val="0"/>
                <w:bCs/>
                <w:color w:val="auto"/>
                <w:sz w:val="22"/>
              </w:rPr>
              <w:t xml:space="preserve"> </w:t>
            </w:r>
            <w:r w:rsidRPr="001745B4">
              <w:rPr>
                <w:b w:val="0"/>
                <w:color w:val="auto"/>
                <w:sz w:val="22"/>
              </w:rPr>
              <w:t xml:space="preserve">has been involved in vocational education and training since 2000. He is a former principal of an upper secondary VET-provider in Sweden and director for Education of the Swedish National Agency for Education. </w:t>
            </w:r>
          </w:p>
          <w:p w14:paraId="55D20196" w14:textId="77777777" w:rsidR="00AE0204" w:rsidRDefault="00AE0204" w:rsidP="00E317BF">
            <w:pPr>
              <w:spacing w:line="259" w:lineRule="auto"/>
              <w:ind w:left="0" w:firstLine="0"/>
              <w:rPr>
                <w:b w:val="0"/>
                <w:bCs/>
                <w:color w:val="auto"/>
                <w:sz w:val="22"/>
              </w:rPr>
            </w:pPr>
          </w:p>
          <w:p w14:paraId="37E0EB8E" w14:textId="23322569" w:rsidR="00E317BF" w:rsidRPr="00E317BF" w:rsidRDefault="00E317BF" w:rsidP="00E317BF">
            <w:pPr>
              <w:spacing w:line="259" w:lineRule="auto"/>
              <w:ind w:left="0" w:firstLine="0"/>
              <w:rPr>
                <w:b w:val="0"/>
                <w:bCs/>
                <w:color w:val="auto"/>
                <w:sz w:val="22"/>
              </w:rPr>
            </w:pPr>
            <w:r w:rsidRPr="00E317BF">
              <w:rPr>
                <w:b w:val="0"/>
                <w:bCs/>
                <w:color w:val="auto"/>
                <w:sz w:val="22"/>
              </w:rPr>
              <w:t xml:space="preserve">He is currently working as a senior advisor of the Swedish National Agency for Higher Vocational Education. </w:t>
            </w:r>
          </w:p>
          <w:p w14:paraId="651A4C9B" w14:textId="77777777" w:rsidR="00AE0204" w:rsidRDefault="00AE0204" w:rsidP="00E317BF">
            <w:pPr>
              <w:spacing w:line="259" w:lineRule="auto"/>
              <w:ind w:left="0" w:firstLine="0"/>
              <w:rPr>
                <w:b w:val="0"/>
                <w:bCs/>
                <w:color w:val="auto"/>
                <w:sz w:val="22"/>
              </w:rPr>
            </w:pPr>
          </w:p>
          <w:p w14:paraId="16F3D4B5" w14:textId="7493CC87" w:rsidR="00DA5BB8" w:rsidRDefault="00E317BF" w:rsidP="00E317BF">
            <w:pPr>
              <w:spacing w:line="259" w:lineRule="auto"/>
              <w:ind w:left="0" w:firstLine="0"/>
              <w:rPr>
                <w:b w:val="0"/>
                <w:bCs/>
                <w:color w:val="auto"/>
                <w:sz w:val="22"/>
              </w:rPr>
            </w:pPr>
            <w:r w:rsidRPr="00E317BF">
              <w:rPr>
                <w:b w:val="0"/>
                <w:bCs/>
                <w:color w:val="auto"/>
                <w:sz w:val="22"/>
              </w:rPr>
              <w:t>He has been coordinator of the Swedish national reference point for EQAVET and ECVET, and is member of a team evaluating the Norwegian NQF.</w:t>
            </w:r>
          </w:p>
          <w:p w14:paraId="2CEBB360" w14:textId="5F65D426" w:rsidR="00BD7426" w:rsidRPr="005E1944" w:rsidRDefault="00BD7426" w:rsidP="00E317BF">
            <w:pPr>
              <w:spacing w:line="259" w:lineRule="auto"/>
              <w:ind w:left="0" w:firstLine="0"/>
              <w:rPr>
                <w:b w:val="0"/>
                <w:bCs/>
                <w:color w:val="auto"/>
                <w:sz w:val="22"/>
              </w:rPr>
            </w:pPr>
          </w:p>
        </w:tc>
      </w:tr>
      <w:tr w:rsidR="00DE6B6A" w:rsidRPr="00DE6B6A" w14:paraId="5001D23A" w14:textId="77777777" w:rsidTr="00421F6A">
        <w:tc>
          <w:tcPr>
            <w:tcW w:w="3681" w:type="dxa"/>
          </w:tcPr>
          <w:p w14:paraId="4F858AB1" w14:textId="38BD84FE" w:rsidR="0033236D" w:rsidRDefault="004F2CA8" w:rsidP="0033236D">
            <w:pPr>
              <w:spacing w:line="259" w:lineRule="auto"/>
              <w:ind w:left="0" w:firstLine="0"/>
              <w:rPr>
                <w:b w:val="0"/>
                <w:color w:val="000000"/>
                <w:sz w:val="24"/>
              </w:rPr>
            </w:pPr>
            <w:r>
              <w:rPr>
                <w:b w:val="0"/>
                <w:noProof/>
                <w:color w:val="000000"/>
                <w:sz w:val="24"/>
              </w:rPr>
              <w:drawing>
                <wp:anchor distT="0" distB="0" distL="114300" distR="114300" simplePos="0" relativeHeight="251659264" behindDoc="0" locked="0" layoutInCell="1" allowOverlap="1" wp14:anchorId="2CC0847E" wp14:editId="10616FEA">
                  <wp:simplePos x="0" y="0"/>
                  <wp:positionH relativeFrom="column">
                    <wp:posOffset>4445</wp:posOffset>
                  </wp:positionH>
                  <wp:positionV relativeFrom="paragraph">
                    <wp:posOffset>48260</wp:posOffset>
                  </wp:positionV>
                  <wp:extent cx="2200275" cy="2317750"/>
                  <wp:effectExtent l="0" t="0" r="9525" b="6350"/>
                  <wp:wrapThrough wrapText="bothSides">
                    <wp:wrapPolygon edited="0">
                      <wp:start x="0" y="0"/>
                      <wp:lineTo x="0" y="21482"/>
                      <wp:lineTo x="21506" y="21482"/>
                      <wp:lineTo x="2150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00275" cy="2317750"/>
                          </a:xfrm>
                          <a:prstGeom prst="rect">
                            <a:avLst/>
                          </a:prstGeom>
                        </pic:spPr>
                      </pic:pic>
                    </a:graphicData>
                  </a:graphic>
                  <wp14:sizeRelH relativeFrom="margin">
                    <wp14:pctWidth>0</wp14:pctWidth>
                  </wp14:sizeRelH>
                  <wp14:sizeRelV relativeFrom="margin">
                    <wp14:pctHeight>0</wp14:pctHeight>
                  </wp14:sizeRelV>
                </wp:anchor>
              </w:drawing>
            </w:r>
          </w:p>
        </w:tc>
        <w:tc>
          <w:tcPr>
            <w:tcW w:w="5439" w:type="dxa"/>
          </w:tcPr>
          <w:p w14:paraId="2A057AC4" w14:textId="77777777" w:rsidR="00624FF4" w:rsidRPr="00624FF4" w:rsidRDefault="00624FF4" w:rsidP="00624FF4">
            <w:pPr>
              <w:spacing w:line="259" w:lineRule="auto"/>
              <w:ind w:left="0" w:firstLine="0"/>
              <w:rPr>
                <w:b w:val="0"/>
                <w:bCs/>
                <w:color w:val="auto"/>
                <w:sz w:val="22"/>
              </w:rPr>
            </w:pPr>
            <w:r w:rsidRPr="00624FF4">
              <w:rPr>
                <w:color w:val="auto"/>
                <w:sz w:val="22"/>
              </w:rPr>
              <w:t>Willie Mc Mahon</w:t>
            </w:r>
            <w:r w:rsidRPr="00624FF4">
              <w:rPr>
                <w:b w:val="0"/>
                <w:bCs/>
                <w:color w:val="auto"/>
                <w:sz w:val="22"/>
              </w:rPr>
              <w:t xml:space="preserve"> is presently co-owner and director of CalX Instrumentation Services ltd. Career background is in industrial manufacturing environments from the aspect of instrumentation and calibration to enable same. </w:t>
            </w:r>
          </w:p>
          <w:p w14:paraId="2F4378B0" w14:textId="77777777" w:rsidR="00624FF4" w:rsidRPr="00624FF4" w:rsidRDefault="00624FF4" w:rsidP="00624FF4">
            <w:pPr>
              <w:spacing w:line="259" w:lineRule="auto"/>
              <w:ind w:left="0" w:firstLine="0"/>
              <w:rPr>
                <w:b w:val="0"/>
                <w:bCs/>
                <w:color w:val="auto"/>
                <w:sz w:val="22"/>
              </w:rPr>
            </w:pPr>
            <w:r w:rsidRPr="00624FF4">
              <w:rPr>
                <w:b w:val="0"/>
                <w:bCs/>
                <w:color w:val="auto"/>
                <w:sz w:val="22"/>
              </w:rPr>
              <w:t xml:space="preserve">He grew up on a farm in north Meath, served an instrumentation apprenticeship in a very large local mine and has worked in various industries across Ireland in the intervening years providing calibration support to clients. </w:t>
            </w:r>
          </w:p>
          <w:p w14:paraId="4A79B65A" w14:textId="77777777" w:rsidR="00624FF4" w:rsidRPr="00624FF4" w:rsidRDefault="00624FF4" w:rsidP="00624FF4">
            <w:pPr>
              <w:spacing w:line="259" w:lineRule="auto"/>
              <w:ind w:left="0" w:firstLine="0"/>
              <w:rPr>
                <w:b w:val="0"/>
                <w:bCs/>
                <w:color w:val="auto"/>
                <w:sz w:val="22"/>
              </w:rPr>
            </w:pPr>
          </w:p>
          <w:p w14:paraId="25D0B07D" w14:textId="77777777" w:rsidR="005A10D7" w:rsidRDefault="00624FF4" w:rsidP="00624FF4">
            <w:pPr>
              <w:spacing w:line="259" w:lineRule="auto"/>
              <w:ind w:left="0" w:firstLine="0"/>
              <w:rPr>
                <w:b w:val="0"/>
                <w:bCs/>
                <w:color w:val="auto"/>
                <w:sz w:val="22"/>
              </w:rPr>
            </w:pPr>
            <w:r w:rsidRPr="00624FF4">
              <w:rPr>
                <w:b w:val="0"/>
                <w:bCs/>
                <w:color w:val="auto"/>
                <w:sz w:val="22"/>
              </w:rPr>
              <w:t xml:space="preserve">Having been self-employed since 2015, in 2019 he merged that business with another local business and today they employ 42 people. He is not only passionate about apprenticeships, but all 3rd level education in general and empowering the next generation. </w:t>
            </w:r>
          </w:p>
          <w:p w14:paraId="34364AF0" w14:textId="77777777" w:rsidR="005A10D7" w:rsidRDefault="005A10D7" w:rsidP="00624FF4">
            <w:pPr>
              <w:spacing w:line="259" w:lineRule="auto"/>
              <w:ind w:left="0" w:firstLine="0"/>
              <w:rPr>
                <w:b w:val="0"/>
                <w:bCs/>
                <w:color w:val="auto"/>
                <w:sz w:val="22"/>
              </w:rPr>
            </w:pPr>
          </w:p>
          <w:p w14:paraId="327FD9A1" w14:textId="77777777" w:rsidR="004C0B47" w:rsidRDefault="004C0B47" w:rsidP="00624FF4">
            <w:pPr>
              <w:spacing w:line="259" w:lineRule="auto"/>
              <w:ind w:left="0" w:firstLine="0"/>
              <w:rPr>
                <w:b w:val="0"/>
                <w:bCs/>
                <w:color w:val="auto"/>
                <w:sz w:val="22"/>
              </w:rPr>
            </w:pPr>
          </w:p>
          <w:p w14:paraId="3A55804C" w14:textId="520F68DA" w:rsidR="00624FF4" w:rsidRPr="00624FF4" w:rsidRDefault="00624FF4" w:rsidP="00624FF4">
            <w:pPr>
              <w:spacing w:line="259" w:lineRule="auto"/>
              <w:ind w:left="0" w:firstLine="0"/>
              <w:rPr>
                <w:b w:val="0"/>
                <w:bCs/>
                <w:color w:val="auto"/>
                <w:sz w:val="22"/>
              </w:rPr>
            </w:pPr>
            <w:r w:rsidRPr="00624FF4">
              <w:rPr>
                <w:b w:val="0"/>
                <w:bCs/>
                <w:color w:val="auto"/>
                <w:sz w:val="22"/>
              </w:rPr>
              <w:lastRenderedPageBreak/>
              <w:t xml:space="preserve">His workplace currently employs 10 apprentices across 4 disciplines and have been short listed for Apprenticeship employer of the year 2021. </w:t>
            </w:r>
          </w:p>
          <w:p w14:paraId="7D27C922" w14:textId="32E93C5D" w:rsidR="00624FF4" w:rsidRPr="00624FF4" w:rsidRDefault="00624FF4" w:rsidP="00624FF4">
            <w:pPr>
              <w:spacing w:line="259" w:lineRule="auto"/>
              <w:ind w:left="0" w:firstLine="0"/>
              <w:rPr>
                <w:b w:val="0"/>
                <w:bCs/>
                <w:color w:val="auto"/>
                <w:sz w:val="22"/>
              </w:rPr>
            </w:pPr>
          </w:p>
          <w:p w14:paraId="06161DE0" w14:textId="77777777" w:rsidR="0033236D" w:rsidRDefault="00624FF4" w:rsidP="00624FF4">
            <w:pPr>
              <w:spacing w:line="259" w:lineRule="auto"/>
              <w:ind w:left="0" w:firstLine="0"/>
              <w:rPr>
                <w:b w:val="0"/>
                <w:bCs/>
                <w:color w:val="auto"/>
                <w:sz w:val="22"/>
              </w:rPr>
            </w:pPr>
            <w:r w:rsidRPr="00624FF4">
              <w:rPr>
                <w:b w:val="0"/>
                <w:bCs/>
                <w:color w:val="auto"/>
                <w:sz w:val="22"/>
              </w:rPr>
              <w:t>Married to Claire, Willie has three children and shares their house with a lot of pets.</w:t>
            </w:r>
          </w:p>
          <w:p w14:paraId="512693D2" w14:textId="07F611D0" w:rsidR="0022092F" w:rsidRPr="00A61521" w:rsidRDefault="0022092F" w:rsidP="00624FF4">
            <w:pPr>
              <w:spacing w:line="259" w:lineRule="auto"/>
              <w:ind w:left="0" w:firstLine="0"/>
              <w:rPr>
                <w:b w:val="0"/>
                <w:bCs/>
                <w:color w:val="auto"/>
                <w:sz w:val="22"/>
              </w:rPr>
            </w:pPr>
          </w:p>
        </w:tc>
      </w:tr>
      <w:tr w:rsidR="00DE6B6A" w:rsidRPr="00DE6B6A" w14:paraId="31E7952C" w14:textId="77777777" w:rsidTr="005A10D7">
        <w:trPr>
          <w:trHeight w:val="6466"/>
        </w:trPr>
        <w:tc>
          <w:tcPr>
            <w:tcW w:w="3681" w:type="dxa"/>
          </w:tcPr>
          <w:p w14:paraId="70EAED55" w14:textId="68B8DB5A" w:rsidR="009D0CD1" w:rsidRDefault="00C11FB0" w:rsidP="0033236D">
            <w:pPr>
              <w:spacing w:line="259" w:lineRule="auto"/>
              <w:ind w:left="0" w:firstLine="0"/>
              <w:rPr>
                <w:b w:val="0"/>
                <w:color w:val="000000"/>
                <w:sz w:val="24"/>
              </w:rPr>
            </w:pPr>
            <w:r>
              <w:rPr>
                <w:b w:val="0"/>
                <w:noProof/>
                <w:color w:val="000000"/>
                <w:sz w:val="24"/>
              </w:rPr>
              <w:lastRenderedPageBreak/>
              <w:drawing>
                <wp:anchor distT="0" distB="0" distL="114300" distR="114300" simplePos="0" relativeHeight="251658240" behindDoc="0" locked="0" layoutInCell="1" allowOverlap="1" wp14:anchorId="16C3F8A5" wp14:editId="04A0E12B">
                  <wp:simplePos x="0" y="0"/>
                  <wp:positionH relativeFrom="column">
                    <wp:posOffset>4671</wp:posOffset>
                  </wp:positionH>
                  <wp:positionV relativeFrom="paragraph">
                    <wp:posOffset>60960</wp:posOffset>
                  </wp:positionV>
                  <wp:extent cx="2200275" cy="3516356"/>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00275" cy="3516356"/>
                          </a:xfrm>
                          <a:prstGeom prst="rect">
                            <a:avLst/>
                          </a:prstGeom>
                        </pic:spPr>
                      </pic:pic>
                    </a:graphicData>
                  </a:graphic>
                </wp:anchor>
              </w:drawing>
            </w:r>
          </w:p>
        </w:tc>
        <w:tc>
          <w:tcPr>
            <w:tcW w:w="5439" w:type="dxa"/>
          </w:tcPr>
          <w:p w14:paraId="4801E260" w14:textId="77777777" w:rsidR="00FF4B99" w:rsidRPr="00FF4B99" w:rsidRDefault="00FF4B99" w:rsidP="00FF4B99">
            <w:pPr>
              <w:spacing w:line="259" w:lineRule="auto"/>
              <w:ind w:left="0" w:firstLine="0"/>
              <w:rPr>
                <w:b w:val="0"/>
                <w:bCs/>
                <w:color w:val="auto"/>
                <w:sz w:val="22"/>
              </w:rPr>
            </w:pPr>
            <w:r w:rsidRPr="00FF4B99">
              <w:rPr>
                <w:b w:val="0"/>
                <w:bCs/>
                <w:color w:val="auto"/>
                <w:sz w:val="22"/>
              </w:rPr>
              <w:t xml:space="preserve">After leaving secondary school, </w:t>
            </w:r>
            <w:r w:rsidRPr="00B940ED">
              <w:rPr>
                <w:color w:val="auto"/>
                <w:sz w:val="22"/>
              </w:rPr>
              <w:t>Maura Field</w:t>
            </w:r>
            <w:r w:rsidRPr="00FF4B99">
              <w:rPr>
                <w:b w:val="0"/>
                <w:bCs/>
                <w:color w:val="auto"/>
                <w:sz w:val="22"/>
              </w:rPr>
              <w:t xml:space="preserve"> completed a secretarial course and went to work as a secretary in a purchasing department for an electronics company. She became very interested in the work and after a short time, was hired as a junior buyer. She worked as a buyer and customer service representative in the private sector for almost 20 years. After having her second child, she made the decision to be a </w:t>
            </w:r>
            <w:proofErr w:type="gramStart"/>
            <w:r w:rsidRPr="00FF4B99">
              <w:rPr>
                <w:b w:val="0"/>
                <w:bCs/>
                <w:color w:val="auto"/>
                <w:sz w:val="22"/>
              </w:rPr>
              <w:t>stay at home</w:t>
            </w:r>
            <w:proofErr w:type="gramEnd"/>
            <w:r w:rsidRPr="00FF4B99">
              <w:rPr>
                <w:b w:val="0"/>
                <w:bCs/>
                <w:color w:val="auto"/>
                <w:sz w:val="22"/>
              </w:rPr>
              <w:t xml:space="preserve"> parent. Once her children were settled in primary school, she wanted to look at a career which would work for her family situation. </w:t>
            </w:r>
          </w:p>
          <w:p w14:paraId="0B56519F" w14:textId="77777777" w:rsidR="00FF4B99" w:rsidRPr="00FF4B99" w:rsidRDefault="00FF4B99" w:rsidP="00FF4B99">
            <w:pPr>
              <w:spacing w:line="259" w:lineRule="auto"/>
              <w:ind w:left="0" w:firstLine="0"/>
              <w:rPr>
                <w:b w:val="0"/>
                <w:bCs/>
                <w:color w:val="auto"/>
                <w:sz w:val="22"/>
              </w:rPr>
            </w:pPr>
          </w:p>
          <w:p w14:paraId="168705C1" w14:textId="77777777" w:rsidR="00BD7426" w:rsidRDefault="00FF4B99" w:rsidP="00FF4B99">
            <w:pPr>
              <w:spacing w:line="259" w:lineRule="auto"/>
              <w:ind w:left="0" w:firstLine="0"/>
              <w:rPr>
                <w:b w:val="0"/>
                <w:bCs/>
                <w:color w:val="auto"/>
                <w:sz w:val="22"/>
              </w:rPr>
            </w:pPr>
            <w:r w:rsidRPr="00FF4B99">
              <w:rPr>
                <w:b w:val="0"/>
                <w:bCs/>
                <w:color w:val="auto"/>
                <w:sz w:val="22"/>
              </w:rPr>
              <w:t xml:space="preserve">In 2019, Maura achieved a level 5 qualification in Early Childhood Care and Education at the local secondary school who were providing FET courses. In 2020/2021 during Covid-19lockdown, she completed the level 6 Advanced Early childhood care and education (special needs) online with the Cork College of Commerce. </w:t>
            </w:r>
          </w:p>
          <w:p w14:paraId="4278CC8B" w14:textId="77777777" w:rsidR="00BD7426" w:rsidRDefault="00BD7426" w:rsidP="00FF4B99">
            <w:pPr>
              <w:spacing w:line="259" w:lineRule="auto"/>
              <w:ind w:left="0" w:firstLine="0"/>
              <w:rPr>
                <w:b w:val="0"/>
                <w:bCs/>
                <w:color w:val="auto"/>
                <w:sz w:val="22"/>
              </w:rPr>
            </w:pPr>
          </w:p>
          <w:p w14:paraId="53553C45" w14:textId="54F47D53" w:rsidR="0033236D" w:rsidRDefault="00FF4B99" w:rsidP="00FF4B99">
            <w:pPr>
              <w:spacing w:line="259" w:lineRule="auto"/>
              <w:ind w:left="0" w:firstLine="0"/>
              <w:rPr>
                <w:b w:val="0"/>
                <w:bCs/>
                <w:color w:val="auto"/>
                <w:sz w:val="22"/>
              </w:rPr>
            </w:pPr>
            <w:r w:rsidRPr="00FF4B99">
              <w:rPr>
                <w:b w:val="0"/>
                <w:bCs/>
                <w:color w:val="auto"/>
                <w:sz w:val="22"/>
              </w:rPr>
              <w:t>Since receiving her qualifications, she is working as a substitute Special Needs Assistant.</w:t>
            </w:r>
          </w:p>
          <w:p w14:paraId="7F9FD627" w14:textId="527E5379" w:rsidR="0022092F" w:rsidRPr="00242686" w:rsidRDefault="0022092F" w:rsidP="00FF4B99">
            <w:pPr>
              <w:spacing w:line="259" w:lineRule="auto"/>
              <w:ind w:left="0" w:firstLine="0"/>
              <w:rPr>
                <w:b w:val="0"/>
                <w:bCs/>
                <w:color w:val="auto"/>
                <w:sz w:val="22"/>
              </w:rPr>
            </w:pPr>
          </w:p>
        </w:tc>
      </w:tr>
      <w:tr w:rsidR="00DE6B6A" w:rsidRPr="00DE6B6A" w14:paraId="41B5FF07" w14:textId="77777777" w:rsidTr="006E699C">
        <w:trPr>
          <w:trHeight w:val="2677"/>
        </w:trPr>
        <w:tc>
          <w:tcPr>
            <w:tcW w:w="3681" w:type="dxa"/>
          </w:tcPr>
          <w:p w14:paraId="50157998" w14:textId="4538C603" w:rsidR="009D0CD1" w:rsidRDefault="006E699C" w:rsidP="0033236D">
            <w:pPr>
              <w:spacing w:line="259" w:lineRule="auto"/>
              <w:ind w:left="0" w:firstLine="0"/>
              <w:rPr>
                <w:b w:val="0"/>
                <w:color w:val="000000"/>
                <w:sz w:val="24"/>
              </w:rPr>
            </w:pPr>
            <w:r>
              <w:rPr>
                <w:b w:val="0"/>
                <w:noProof/>
                <w:color w:val="000000"/>
                <w:sz w:val="24"/>
              </w:rPr>
              <w:drawing>
                <wp:anchor distT="0" distB="0" distL="114300" distR="114300" simplePos="0" relativeHeight="251662336" behindDoc="0" locked="0" layoutInCell="1" allowOverlap="1" wp14:anchorId="2E112DBE" wp14:editId="5A0425CF">
                  <wp:simplePos x="0" y="0"/>
                  <wp:positionH relativeFrom="column">
                    <wp:posOffset>4445</wp:posOffset>
                  </wp:positionH>
                  <wp:positionV relativeFrom="paragraph">
                    <wp:posOffset>89535</wp:posOffset>
                  </wp:positionV>
                  <wp:extent cx="2175196" cy="1993929"/>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75196" cy="1993929"/>
                          </a:xfrm>
                          <a:prstGeom prst="rect">
                            <a:avLst/>
                          </a:prstGeom>
                        </pic:spPr>
                      </pic:pic>
                    </a:graphicData>
                  </a:graphic>
                  <wp14:sizeRelV relativeFrom="margin">
                    <wp14:pctHeight>0</wp14:pctHeight>
                  </wp14:sizeRelV>
                </wp:anchor>
              </w:drawing>
            </w:r>
          </w:p>
        </w:tc>
        <w:tc>
          <w:tcPr>
            <w:tcW w:w="5439" w:type="dxa"/>
          </w:tcPr>
          <w:p w14:paraId="21D0F962" w14:textId="77777777" w:rsidR="00DD5E40" w:rsidRPr="00DD5E40" w:rsidRDefault="008C2FEE" w:rsidP="00DD5E40">
            <w:pPr>
              <w:spacing w:line="259" w:lineRule="auto"/>
              <w:ind w:left="0" w:firstLine="0"/>
              <w:rPr>
                <w:b w:val="0"/>
                <w:bCs/>
                <w:color w:val="000000"/>
                <w:sz w:val="22"/>
              </w:rPr>
            </w:pPr>
            <w:r>
              <w:rPr>
                <w:color w:val="000000"/>
                <w:sz w:val="22"/>
              </w:rPr>
              <w:t xml:space="preserve">David Treacy </w:t>
            </w:r>
            <w:r w:rsidR="00DD5E40" w:rsidRPr="00DD5E40">
              <w:rPr>
                <w:b w:val="0"/>
                <w:bCs/>
                <w:color w:val="000000"/>
                <w:sz w:val="22"/>
              </w:rPr>
              <w:t>was an Education Officer with City of Dublin Education and Training Board for over 12 years. He dealt with the management and development of the CDETB Further Education and Training Services, providing adult education and training programmes and services across the city in community centres, colleges, training centres, prisons and in the workplace.</w:t>
            </w:r>
          </w:p>
          <w:p w14:paraId="68FBDF31" w14:textId="77777777" w:rsidR="00DD5E40" w:rsidRPr="00DD5E40" w:rsidRDefault="00DD5E40" w:rsidP="00DD5E40">
            <w:pPr>
              <w:spacing w:line="259" w:lineRule="auto"/>
              <w:ind w:left="0" w:firstLine="0"/>
              <w:rPr>
                <w:b w:val="0"/>
                <w:bCs/>
                <w:color w:val="000000"/>
                <w:sz w:val="22"/>
              </w:rPr>
            </w:pPr>
          </w:p>
          <w:p w14:paraId="644A9964" w14:textId="77777777" w:rsidR="009E0129" w:rsidRPr="009E0129" w:rsidRDefault="00DD5E40" w:rsidP="009E0129">
            <w:pPr>
              <w:spacing w:line="259" w:lineRule="auto"/>
              <w:ind w:left="0" w:firstLine="0"/>
              <w:rPr>
                <w:b w:val="0"/>
                <w:bCs/>
                <w:color w:val="000000"/>
                <w:sz w:val="22"/>
              </w:rPr>
            </w:pPr>
            <w:r w:rsidRPr="00DD5E40">
              <w:rPr>
                <w:b w:val="0"/>
                <w:bCs/>
                <w:color w:val="000000"/>
                <w:sz w:val="22"/>
              </w:rPr>
              <w:t>Prior to his role with CDETB, David was a director on the City of Dublin Youth Service Board - the youth work development agency of the City of</w:t>
            </w:r>
            <w:r w:rsidR="009E0129">
              <w:rPr>
                <w:b w:val="0"/>
                <w:bCs/>
                <w:color w:val="000000"/>
                <w:sz w:val="22"/>
              </w:rPr>
              <w:t xml:space="preserve"> </w:t>
            </w:r>
            <w:r w:rsidR="009E0129" w:rsidRPr="009E0129">
              <w:rPr>
                <w:b w:val="0"/>
                <w:bCs/>
                <w:color w:val="000000"/>
                <w:sz w:val="22"/>
              </w:rPr>
              <w:t>Dublin Vocational Education Committee. He has also worked as a Youth Work Assessor in the Department of Education and Science.</w:t>
            </w:r>
          </w:p>
          <w:p w14:paraId="1CEB6CF8" w14:textId="77777777" w:rsidR="009E0129" w:rsidRPr="009E0129" w:rsidRDefault="009E0129" w:rsidP="009E0129">
            <w:pPr>
              <w:spacing w:line="259" w:lineRule="auto"/>
              <w:ind w:left="0" w:firstLine="0"/>
              <w:rPr>
                <w:b w:val="0"/>
                <w:bCs/>
                <w:color w:val="000000"/>
                <w:sz w:val="22"/>
              </w:rPr>
            </w:pPr>
          </w:p>
          <w:p w14:paraId="62E68CD7" w14:textId="0EC01F31" w:rsidR="0033236D" w:rsidRPr="008C2FEE" w:rsidRDefault="009E0129" w:rsidP="009E0129">
            <w:pPr>
              <w:spacing w:line="259" w:lineRule="auto"/>
              <w:ind w:left="0" w:firstLine="0"/>
              <w:rPr>
                <w:b w:val="0"/>
                <w:bCs/>
                <w:color w:val="000000"/>
                <w:sz w:val="22"/>
              </w:rPr>
            </w:pPr>
            <w:r w:rsidRPr="009E0129">
              <w:rPr>
                <w:b w:val="0"/>
                <w:bCs/>
                <w:color w:val="000000"/>
                <w:sz w:val="22"/>
              </w:rPr>
              <w:t>David chairs panels for QA approval processes for QQI and has most recently chaired reengagement evaluations for the National Adult Literacy Agency and International Centre for Security Excellence.</w:t>
            </w:r>
          </w:p>
        </w:tc>
      </w:tr>
    </w:tbl>
    <w:p w14:paraId="799BAF62" w14:textId="0A80C309" w:rsidR="00BF3061" w:rsidRPr="00787D5E" w:rsidRDefault="00BF3061" w:rsidP="00401A0E">
      <w:pPr>
        <w:spacing w:line="259" w:lineRule="auto"/>
        <w:ind w:left="0" w:firstLine="0"/>
        <w:rPr>
          <w:b w:val="0"/>
          <w:color w:val="auto"/>
          <w:sz w:val="24"/>
          <w:szCs w:val="24"/>
        </w:rPr>
      </w:pPr>
    </w:p>
    <w:sectPr w:rsidR="00BF3061" w:rsidRPr="00787D5E" w:rsidSect="007C47B9">
      <w:headerReference w:type="even" r:id="rId17"/>
      <w:headerReference w:type="default" r:id="rId18"/>
      <w:headerReference w:type="first" r:id="rId19"/>
      <w:pgSz w:w="11906" w:h="16838"/>
      <w:pgMar w:top="1133" w:right="1336" w:bottom="0" w:left="1440" w:header="73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66AB" w14:textId="77777777" w:rsidR="005532A3" w:rsidRDefault="005532A3">
      <w:pPr>
        <w:spacing w:line="240" w:lineRule="auto"/>
      </w:pPr>
      <w:r>
        <w:separator/>
      </w:r>
    </w:p>
  </w:endnote>
  <w:endnote w:type="continuationSeparator" w:id="0">
    <w:p w14:paraId="21152613" w14:textId="77777777" w:rsidR="005532A3" w:rsidRDefault="005532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EDDB6" w14:textId="77777777" w:rsidR="005532A3" w:rsidRDefault="005532A3">
      <w:pPr>
        <w:spacing w:line="240" w:lineRule="auto"/>
      </w:pPr>
      <w:r>
        <w:separator/>
      </w:r>
    </w:p>
  </w:footnote>
  <w:footnote w:type="continuationSeparator" w:id="0">
    <w:p w14:paraId="1EBC6CAB" w14:textId="77777777" w:rsidR="005532A3" w:rsidRDefault="005532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8D1C" w14:textId="77777777" w:rsidR="00BF3061" w:rsidRDefault="00042D5B">
    <w:pPr>
      <w:spacing w:line="259" w:lineRule="auto"/>
      <w:ind w:left="201" w:firstLine="0"/>
      <w:jc w:val="center"/>
    </w:pPr>
    <w:r>
      <w:rPr>
        <w:b w:val="0"/>
        <w:color w:val="000000"/>
        <w:sz w:val="16"/>
      </w:rPr>
      <w:t xml:space="preserve">Tipperary ETB Education &amp; Training Board – Inaugural Review of Quality Assurance in Education and Training Boards 2021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8460" w14:textId="1CE23442" w:rsidR="00BF3061" w:rsidRDefault="001A2571">
    <w:pPr>
      <w:spacing w:line="259" w:lineRule="auto"/>
      <w:ind w:left="201" w:firstLine="0"/>
      <w:jc w:val="center"/>
    </w:pPr>
    <w:r>
      <w:rPr>
        <w:b w:val="0"/>
        <w:color w:val="000000"/>
        <w:sz w:val="16"/>
      </w:rPr>
      <w:t>Kildare and Wicklow</w:t>
    </w:r>
    <w:r w:rsidR="00AC765B">
      <w:rPr>
        <w:b w:val="0"/>
        <w:color w:val="000000"/>
        <w:sz w:val="16"/>
      </w:rPr>
      <w:t xml:space="preserve"> </w:t>
    </w:r>
    <w:r w:rsidR="00042D5B">
      <w:rPr>
        <w:b w:val="0"/>
        <w:color w:val="000000"/>
        <w:sz w:val="16"/>
      </w:rPr>
      <w:t xml:space="preserve">Education </w:t>
    </w:r>
    <w:r w:rsidR="00AC765B">
      <w:rPr>
        <w:b w:val="0"/>
        <w:color w:val="000000"/>
        <w:sz w:val="16"/>
      </w:rPr>
      <w:t>and</w:t>
    </w:r>
    <w:r w:rsidR="00042D5B">
      <w:rPr>
        <w:b w:val="0"/>
        <w:color w:val="000000"/>
        <w:sz w:val="16"/>
      </w:rPr>
      <w:t xml:space="preserve"> Training Board </w:t>
    </w:r>
    <w:r w:rsidR="004145E1">
      <w:rPr>
        <w:b w:val="0"/>
        <w:color w:val="000000"/>
        <w:sz w:val="16"/>
      </w:rPr>
      <w:t>-</w:t>
    </w:r>
    <w:r w:rsidR="00042D5B">
      <w:rPr>
        <w:b w:val="0"/>
        <w:color w:val="000000"/>
        <w:sz w:val="16"/>
      </w:rPr>
      <w:t xml:space="preserve"> Inaugural Review of Quality Assurance in Education and Training Boards</w:t>
    </w:r>
    <w:r w:rsidR="00287C66">
      <w:rPr>
        <w:b w:val="0"/>
        <w:color w:val="000000"/>
        <w:sz w:val="16"/>
      </w:rPr>
      <w:t xml:space="preserve"> 202</w:t>
    </w:r>
    <w:r w:rsidR="00A022B3">
      <w:rPr>
        <w:b w:val="0"/>
        <w:color w:val="000000"/>
        <w:sz w:val="16"/>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85BF" w14:textId="77777777" w:rsidR="00BF3061" w:rsidRDefault="00042D5B">
    <w:pPr>
      <w:spacing w:line="259" w:lineRule="auto"/>
      <w:ind w:left="201" w:firstLine="0"/>
      <w:jc w:val="center"/>
    </w:pPr>
    <w:r>
      <w:rPr>
        <w:b w:val="0"/>
        <w:color w:val="000000"/>
        <w:sz w:val="16"/>
      </w:rPr>
      <w:t xml:space="preserve">Tipperary ETB Education &amp; Training Board – Inaugural Review of Quality Assurance in Education and Training Boards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04A07"/>
    <w:multiLevelType w:val="hybridMultilevel"/>
    <w:tmpl w:val="44E6C1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061"/>
    <w:rsid w:val="00022504"/>
    <w:rsid w:val="000242A2"/>
    <w:rsid w:val="00042D5B"/>
    <w:rsid w:val="00056075"/>
    <w:rsid w:val="00075845"/>
    <w:rsid w:val="00076C23"/>
    <w:rsid w:val="00081167"/>
    <w:rsid w:val="000F47EE"/>
    <w:rsid w:val="0010128A"/>
    <w:rsid w:val="001507F6"/>
    <w:rsid w:val="00154961"/>
    <w:rsid w:val="0015645C"/>
    <w:rsid w:val="00173CDC"/>
    <w:rsid w:val="001745B4"/>
    <w:rsid w:val="00181FBD"/>
    <w:rsid w:val="001A1882"/>
    <w:rsid w:val="001A2571"/>
    <w:rsid w:val="001C53FE"/>
    <w:rsid w:val="0022092F"/>
    <w:rsid w:val="00242686"/>
    <w:rsid w:val="002577A6"/>
    <w:rsid w:val="00284EF7"/>
    <w:rsid w:val="00287C66"/>
    <w:rsid w:val="002B65FE"/>
    <w:rsid w:val="00305628"/>
    <w:rsid w:val="0033236D"/>
    <w:rsid w:val="00335BA5"/>
    <w:rsid w:val="0038330A"/>
    <w:rsid w:val="003E4B57"/>
    <w:rsid w:val="00401A0E"/>
    <w:rsid w:val="004145E1"/>
    <w:rsid w:val="00421F1D"/>
    <w:rsid w:val="00421F6A"/>
    <w:rsid w:val="00445560"/>
    <w:rsid w:val="00446E44"/>
    <w:rsid w:val="00474F0A"/>
    <w:rsid w:val="004A07CB"/>
    <w:rsid w:val="004C0B47"/>
    <w:rsid w:val="004C2A86"/>
    <w:rsid w:val="004F1985"/>
    <w:rsid w:val="004F2CA8"/>
    <w:rsid w:val="004F5D88"/>
    <w:rsid w:val="004F7E5A"/>
    <w:rsid w:val="0050771B"/>
    <w:rsid w:val="00551518"/>
    <w:rsid w:val="005532A3"/>
    <w:rsid w:val="00563DF1"/>
    <w:rsid w:val="005728F9"/>
    <w:rsid w:val="005955B4"/>
    <w:rsid w:val="005A10D7"/>
    <w:rsid w:val="005C017E"/>
    <w:rsid w:val="005E0C0E"/>
    <w:rsid w:val="005E1944"/>
    <w:rsid w:val="005E6C83"/>
    <w:rsid w:val="00605D82"/>
    <w:rsid w:val="00624FF4"/>
    <w:rsid w:val="00681016"/>
    <w:rsid w:val="0068444F"/>
    <w:rsid w:val="006B367C"/>
    <w:rsid w:val="006C4DA5"/>
    <w:rsid w:val="006D0829"/>
    <w:rsid w:val="006E699C"/>
    <w:rsid w:val="00715802"/>
    <w:rsid w:val="00747EBF"/>
    <w:rsid w:val="00773AB2"/>
    <w:rsid w:val="00787D5E"/>
    <w:rsid w:val="007971FF"/>
    <w:rsid w:val="007A4A20"/>
    <w:rsid w:val="007C32AA"/>
    <w:rsid w:val="007C47B9"/>
    <w:rsid w:val="00810DB0"/>
    <w:rsid w:val="00821136"/>
    <w:rsid w:val="00867594"/>
    <w:rsid w:val="00877650"/>
    <w:rsid w:val="008907E0"/>
    <w:rsid w:val="00891165"/>
    <w:rsid w:val="008B4D1E"/>
    <w:rsid w:val="008C1D90"/>
    <w:rsid w:val="008C2FEE"/>
    <w:rsid w:val="008C3241"/>
    <w:rsid w:val="008C719D"/>
    <w:rsid w:val="008C7A62"/>
    <w:rsid w:val="008E33E6"/>
    <w:rsid w:val="008E3AB5"/>
    <w:rsid w:val="00902936"/>
    <w:rsid w:val="00915E35"/>
    <w:rsid w:val="009351B0"/>
    <w:rsid w:val="0095485E"/>
    <w:rsid w:val="009A5E76"/>
    <w:rsid w:val="009B6E35"/>
    <w:rsid w:val="009D0CD1"/>
    <w:rsid w:val="009E0129"/>
    <w:rsid w:val="00A022B3"/>
    <w:rsid w:val="00A21B55"/>
    <w:rsid w:val="00A502B2"/>
    <w:rsid w:val="00A61521"/>
    <w:rsid w:val="00A86CBA"/>
    <w:rsid w:val="00AA5E8E"/>
    <w:rsid w:val="00AB0391"/>
    <w:rsid w:val="00AC2B37"/>
    <w:rsid w:val="00AC765B"/>
    <w:rsid w:val="00AD1BEC"/>
    <w:rsid w:val="00AE0204"/>
    <w:rsid w:val="00AF71C6"/>
    <w:rsid w:val="00B36F77"/>
    <w:rsid w:val="00B62619"/>
    <w:rsid w:val="00B66B85"/>
    <w:rsid w:val="00B940ED"/>
    <w:rsid w:val="00B955BC"/>
    <w:rsid w:val="00BA6904"/>
    <w:rsid w:val="00BB49F6"/>
    <w:rsid w:val="00BC1E85"/>
    <w:rsid w:val="00BC1FC1"/>
    <w:rsid w:val="00BD7426"/>
    <w:rsid w:val="00BF3061"/>
    <w:rsid w:val="00C11FB0"/>
    <w:rsid w:val="00C147B7"/>
    <w:rsid w:val="00C2700C"/>
    <w:rsid w:val="00C533A3"/>
    <w:rsid w:val="00C863EE"/>
    <w:rsid w:val="00CA17E9"/>
    <w:rsid w:val="00CA526C"/>
    <w:rsid w:val="00CC10DD"/>
    <w:rsid w:val="00CE6938"/>
    <w:rsid w:val="00CF263B"/>
    <w:rsid w:val="00D05C43"/>
    <w:rsid w:val="00D167BD"/>
    <w:rsid w:val="00D320F6"/>
    <w:rsid w:val="00D63F0B"/>
    <w:rsid w:val="00D70D97"/>
    <w:rsid w:val="00D737FF"/>
    <w:rsid w:val="00DA5BB8"/>
    <w:rsid w:val="00DD065C"/>
    <w:rsid w:val="00DD320C"/>
    <w:rsid w:val="00DD4CB6"/>
    <w:rsid w:val="00DD5E40"/>
    <w:rsid w:val="00DE6B6A"/>
    <w:rsid w:val="00E00865"/>
    <w:rsid w:val="00E1210B"/>
    <w:rsid w:val="00E132C9"/>
    <w:rsid w:val="00E242D7"/>
    <w:rsid w:val="00E30EA7"/>
    <w:rsid w:val="00E317BF"/>
    <w:rsid w:val="00E41146"/>
    <w:rsid w:val="00E60621"/>
    <w:rsid w:val="00E810E5"/>
    <w:rsid w:val="00E979DF"/>
    <w:rsid w:val="00EB16C7"/>
    <w:rsid w:val="00EE078F"/>
    <w:rsid w:val="00F13770"/>
    <w:rsid w:val="00F17AFD"/>
    <w:rsid w:val="00F50115"/>
    <w:rsid w:val="00F55536"/>
    <w:rsid w:val="00F70F72"/>
    <w:rsid w:val="00F87DB5"/>
    <w:rsid w:val="00F97E81"/>
    <w:rsid w:val="00FC3FDA"/>
    <w:rsid w:val="00FD1408"/>
    <w:rsid w:val="00FE0D46"/>
    <w:rsid w:val="00FF2E28"/>
    <w:rsid w:val="00FF4B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74F37"/>
  <w15:docId w15:val="{D1E07756-590C-49DA-833B-F6DB9F14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1C6"/>
    <w:pPr>
      <w:spacing w:after="0" w:line="260" w:lineRule="auto"/>
      <w:ind w:left="1404" w:hanging="1202"/>
    </w:pPr>
    <w:rPr>
      <w:rFonts w:ascii="Calibri" w:eastAsia="Calibri" w:hAnsi="Calibri" w:cs="Calibri"/>
      <w:b/>
      <w:color w:val="009999"/>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A86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56075"/>
    <w:pPr>
      <w:tabs>
        <w:tab w:val="center" w:pos="4513"/>
        <w:tab w:val="right" w:pos="9026"/>
      </w:tabs>
      <w:spacing w:line="240" w:lineRule="auto"/>
    </w:pPr>
  </w:style>
  <w:style w:type="character" w:customStyle="1" w:styleId="FooterChar">
    <w:name w:val="Footer Char"/>
    <w:basedOn w:val="DefaultParagraphFont"/>
    <w:link w:val="Footer"/>
    <w:uiPriority w:val="99"/>
    <w:rsid w:val="00056075"/>
    <w:rPr>
      <w:rFonts w:ascii="Calibri" w:eastAsia="Calibri" w:hAnsi="Calibri" w:cs="Calibri"/>
      <w:b/>
      <w:color w:val="009999"/>
      <w:sz w:val="32"/>
    </w:rPr>
  </w:style>
  <w:style w:type="paragraph" w:styleId="ListParagraph">
    <w:name w:val="List Paragraph"/>
    <w:basedOn w:val="Normal"/>
    <w:uiPriority w:val="34"/>
    <w:qFormat/>
    <w:rsid w:val="00075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824758">
      <w:bodyDiv w:val="1"/>
      <w:marLeft w:val="0"/>
      <w:marRight w:val="0"/>
      <w:marTop w:val="0"/>
      <w:marBottom w:val="0"/>
      <w:divBdr>
        <w:top w:val="none" w:sz="0" w:space="0" w:color="auto"/>
        <w:left w:val="none" w:sz="0" w:space="0" w:color="auto"/>
        <w:bottom w:val="none" w:sz="0" w:space="0" w:color="auto"/>
        <w:right w:val="none" w:sz="0" w:space="0" w:color="auto"/>
      </w:divBdr>
      <w:divsChild>
        <w:div w:id="1195726359">
          <w:marLeft w:val="0"/>
          <w:marRight w:val="0"/>
          <w:marTop w:val="0"/>
          <w:marBottom w:val="0"/>
          <w:divBdr>
            <w:top w:val="none" w:sz="0" w:space="0" w:color="auto"/>
            <w:left w:val="none" w:sz="0" w:space="0" w:color="auto"/>
            <w:bottom w:val="none" w:sz="0" w:space="0" w:color="auto"/>
            <w:right w:val="none" w:sz="0" w:space="0" w:color="auto"/>
          </w:divBdr>
        </w:div>
        <w:div w:id="1462768732">
          <w:marLeft w:val="0"/>
          <w:marRight w:val="0"/>
          <w:marTop w:val="0"/>
          <w:marBottom w:val="0"/>
          <w:divBdr>
            <w:top w:val="none" w:sz="0" w:space="0" w:color="auto"/>
            <w:left w:val="none" w:sz="0" w:space="0" w:color="auto"/>
            <w:bottom w:val="none" w:sz="0" w:space="0" w:color="auto"/>
            <w:right w:val="none" w:sz="0" w:space="0" w:color="auto"/>
          </w:divBdr>
        </w:div>
        <w:div w:id="352197057">
          <w:marLeft w:val="0"/>
          <w:marRight w:val="0"/>
          <w:marTop w:val="0"/>
          <w:marBottom w:val="0"/>
          <w:divBdr>
            <w:top w:val="none" w:sz="0" w:space="0" w:color="auto"/>
            <w:left w:val="none" w:sz="0" w:space="0" w:color="auto"/>
            <w:bottom w:val="none" w:sz="0" w:space="0" w:color="auto"/>
            <w:right w:val="none" w:sz="0" w:space="0" w:color="auto"/>
          </w:divBdr>
        </w:div>
      </w:divsChild>
    </w:div>
    <w:div w:id="1843545677">
      <w:bodyDiv w:val="1"/>
      <w:marLeft w:val="0"/>
      <w:marRight w:val="0"/>
      <w:marTop w:val="0"/>
      <w:marBottom w:val="0"/>
      <w:divBdr>
        <w:top w:val="none" w:sz="0" w:space="0" w:color="auto"/>
        <w:left w:val="none" w:sz="0" w:space="0" w:color="auto"/>
        <w:bottom w:val="none" w:sz="0" w:space="0" w:color="auto"/>
        <w:right w:val="none" w:sz="0" w:space="0" w:color="auto"/>
      </w:divBdr>
      <w:divsChild>
        <w:div w:id="1171406516">
          <w:marLeft w:val="0"/>
          <w:marRight w:val="0"/>
          <w:marTop w:val="0"/>
          <w:marBottom w:val="0"/>
          <w:divBdr>
            <w:top w:val="none" w:sz="0" w:space="0" w:color="auto"/>
            <w:left w:val="none" w:sz="0" w:space="0" w:color="auto"/>
            <w:bottom w:val="none" w:sz="0" w:space="0" w:color="auto"/>
            <w:right w:val="none" w:sz="0" w:space="0" w:color="auto"/>
          </w:divBdr>
        </w:div>
        <w:div w:id="498739438">
          <w:marLeft w:val="0"/>
          <w:marRight w:val="0"/>
          <w:marTop w:val="0"/>
          <w:marBottom w:val="0"/>
          <w:divBdr>
            <w:top w:val="none" w:sz="0" w:space="0" w:color="auto"/>
            <w:left w:val="none" w:sz="0" w:space="0" w:color="auto"/>
            <w:bottom w:val="none" w:sz="0" w:space="0" w:color="auto"/>
            <w:right w:val="none" w:sz="0" w:space="0" w:color="auto"/>
          </w:divBdr>
        </w:div>
        <w:div w:id="14594927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A124CDA3512C4E9143BF8D7335786C" ma:contentTypeVersion="13" ma:contentTypeDescription="Create a new document." ma:contentTypeScope="" ma:versionID="98fe80f382384b555f60ab6121767539">
  <xsd:schema xmlns:xsd="http://www.w3.org/2001/XMLSchema" xmlns:xs="http://www.w3.org/2001/XMLSchema" xmlns:p="http://schemas.microsoft.com/office/2006/metadata/properties" xmlns:ns2="43a281c2-b506-4c31-98b4-ffa7160324de" xmlns:ns3="c4824baa-197d-4789-9a89-5f178f9d843b" targetNamespace="http://schemas.microsoft.com/office/2006/metadata/properties" ma:root="true" ma:fieldsID="f7672baaf5cfe63b833249c2d07bceab" ns2:_="" ns3:_="">
    <xsd:import namespace="43a281c2-b506-4c31-98b4-ffa7160324de"/>
    <xsd:import namespace="c4824baa-197d-4789-9a89-5f178f9d84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281c2-b506-4c31-98b4-ffa7160324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824baa-197d-4789-9a89-5f178f9d84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4824baa-197d-4789-9a89-5f178f9d843b">
      <UserInfo>
        <DisplayName>Orlaith OLoughlin</DisplayName>
        <AccountId>18473</AccountId>
        <AccountType/>
      </UserInfo>
    </SharedWithUsers>
  </documentManagement>
</p:properties>
</file>

<file path=customXml/itemProps1.xml><?xml version="1.0" encoding="utf-8"?>
<ds:datastoreItem xmlns:ds="http://schemas.openxmlformats.org/officeDocument/2006/customXml" ds:itemID="{77C4E4FF-8C87-4967-B90C-C4FCF53ED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281c2-b506-4c31-98b4-ffa7160324de"/>
    <ds:schemaRef ds:uri="c4824baa-197d-4789-9a89-5f178f9d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0B34CC-C621-41C6-9E68-F1ABA726E29F}">
  <ds:schemaRefs>
    <ds:schemaRef ds:uri="http://schemas.microsoft.com/sharepoint/v3/contenttype/forms"/>
  </ds:schemaRefs>
</ds:datastoreItem>
</file>

<file path=customXml/itemProps3.xml><?xml version="1.0" encoding="utf-8"?>
<ds:datastoreItem xmlns:ds="http://schemas.openxmlformats.org/officeDocument/2006/customXml" ds:itemID="{14A1A22F-1FCE-4D42-93A4-311D0A0C1263}">
  <ds:schemaRefs>
    <ds:schemaRef ds:uri="http://schemas.microsoft.com/office/2006/metadata/properties"/>
    <ds:schemaRef ds:uri="http://schemas.microsoft.com/office/infopath/2007/PartnerControls"/>
    <ds:schemaRef ds:uri="c4824baa-197d-4789-9a89-5f178f9d843b"/>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Orlaith OLoughlin</dc:creator>
  <cp:keywords/>
  <cp:lastModifiedBy>Jennifer Osborne</cp:lastModifiedBy>
  <cp:revision>53</cp:revision>
  <dcterms:created xsi:type="dcterms:W3CDTF">2022-01-26T13:57:00Z</dcterms:created>
  <dcterms:modified xsi:type="dcterms:W3CDTF">2022-03-10T12:54:00Z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0x01010054A124CDA3512C4E9143BF8D7335786C</vt:lpwstr>
  </property>
</Properties>
</file>